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30"/>
          <w:szCs w:val="30"/>
        </w:rPr>
        <w:t xml:space="preserve">PROPOSED ACTION PLAN</w:t>
      </w:r>
    </w:p>
    <w:p>
      <w:pPr>
        <w:spacing w:after="100"/>
        <w:jc w:val="center"/>
      </w:pPr>
      <w:r>
        <w:rPr>
          <w:b/>
          <w:bCs/>
          <w:color w:val="444444"/>
          <w:sz w:val="24"/>
          <w:szCs w:val="24"/>
        </w:rPr>
        <w:t xml:space="preserve">James Poultry Supply Sustainability Plan Matrix</w:t>
      </w:r>
    </w:p>
    <w:p>
      <w:pPr>
        <w:spacing w:after="300"/>
        <w:jc w:val="center"/>
      </w:pPr>
      <w:r>
        <w:rPr>
          <w:i/>
          <w:iCs/>
          <w:color w:val="555555"/>
          <w:sz w:val="18"/>
          <w:szCs w:val="18"/>
        </w:rPr>
        <w:t xml:space="preserve">This matrix presents an action plan drawn only from the operational and satisfaction indicators verbally interpreted as "Agree" (Weighted Mean 2.51–3.25) in Chapters 3–4, since indicators rated "Strongly Agree" already reflect a satisfied customer base and require no corrective intervention.</w:t>
      </w:r>
    </w:p>
    <w:tbl>
      <w:tblPr>
        <w:tblW w:type="dxa" w:w="14400"/>
        <w:tblBorders>
          <w:top w:val="single" w:color="999999" w:sz="4"/>
          <w:left w:val="single" w:color="999999" w:sz="4"/>
          <w:bottom w:val="single" w:color="999999" w:sz="4"/>
          <w:right w:val="single" w:color="999999" w:sz="4"/>
          <w:insideH w:val="single" w:color="CCCCCC" w:sz="4"/>
          <w:insideV w:val="single" w:color="CCCCCC" w:sz="4"/>
        </w:tblBorders>
      </w:tblPr>
      <w:tblGrid>
        <w:gridCol w:w="1700"/>
        <w:gridCol w:w="2600"/>
        <w:gridCol w:w="2400"/>
        <w:gridCol w:w="2900"/>
        <w:gridCol w:w="1600"/>
        <w:gridCol w:w="1600"/>
        <w:gridCol w:w="1600"/>
      </w:tblGrid>
      <w:tr>
        <w:trPr>
          <w:tblHeader/>
        </w:trPr>
        <w:tc>
          <w:tcPr>
            <w:tcW w:type="dxa" w:w="1700"/>
            <w:shd w:fill="2E5C3E" w:color="auto" w:val="clear"/>
            <w:tcMar>
              <w:top w:type="dxa" w:w="100"/>
              <w:left w:type="dxa" w:w="100"/>
              <w:bottom w:type="dxa" w:w="100"/>
              <w:right w:type="dxa" w:w="100"/>
            </w:tcMar>
            <w:vAlign w:val="center"/>
          </w:tcPr>
          <w:p>
            <w:pPr>
              <w:jc w:val="center"/>
            </w:pPr>
            <w:r>
              <w:rPr>
                <w:b/>
                <w:bCs/>
                <w:color w:val="FFFFFF"/>
                <w:sz w:val="20"/>
                <w:szCs w:val="20"/>
              </w:rPr>
              <w:t xml:space="preserve">Key Result Area</w:t>
            </w:r>
          </w:p>
        </w:tc>
        <w:tc>
          <w:tcPr>
            <w:tcW w:type="dxa" w:w="2600"/>
            <w:shd w:fill="2E5C3E" w:color="auto" w:val="clear"/>
            <w:tcMar>
              <w:top w:type="dxa" w:w="100"/>
              <w:left w:type="dxa" w:w="100"/>
              <w:bottom w:type="dxa" w:w="100"/>
              <w:right w:type="dxa" w:w="100"/>
            </w:tcMar>
            <w:vAlign w:val="center"/>
          </w:tcPr>
          <w:p>
            <w:pPr>
              <w:jc w:val="center"/>
            </w:pPr>
            <w:r>
              <w:rPr>
                <w:b/>
                <w:bCs/>
                <w:color w:val="FFFFFF"/>
                <w:sz w:val="20"/>
                <w:szCs w:val="20"/>
              </w:rPr>
              <w:t xml:space="preserve">Identified Problem</w:t>
            </w:r>
          </w:p>
        </w:tc>
        <w:tc>
          <w:tcPr>
            <w:tcW w:type="dxa" w:w="2400"/>
            <w:shd w:fill="2E5C3E" w:color="auto" w:val="clear"/>
            <w:tcMar>
              <w:top w:type="dxa" w:w="100"/>
              <w:left w:type="dxa" w:w="100"/>
              <w:bottom w:type="dxa" w:w="100"/>
              <w:right w:type="dxa" w:w="100"/>
            </w:tcMar>
            <w:vAlign w:val="center"/>
          </w:tcPr>
          <w:p>
            <w:pPr>
              <w:jc w:val="center"/>
            </w:pPr>
            <w:r>
              <w:rPr>
                <w:b/>
                <w:bCs/>
                <w:color w:val="FFFFFF"/>
                <w:sz w:val="20"/>
                <w:szCs w:val="20"/>
              </w:rPr>
              <w:t xml:space="preserve">Objective</w:t>
            </w:r>
          </w:p>
        </w:tc>
        <w:tc>
          <w:tcPr>
            <w:tcW w:type="dxa" w:w="2900"/>
            <w:shd w:fill="2E5C3E" w:color="auto" w:val="clear"/>
            <w:tcMar>
              <w:top w:type="dxa" w:w="100"/>
              <w:left w:type="dxa" w:w="100"/>
              <w:bottom w:type="dxa" w:w="100"/>
              <w:right w:type="dxa" w:w="100"/>
            </w:tcMar>
            <w:vAlign w:val="center"/>
          </w:tcPr>
          <w:p>
            <w:pPr>
              <w:jc w:val="center"/>
            </w:pPr>
            <w:r>
              <w:rPr>
                <w:b/>
                <w:bCs/>
                <w:color w:val="FFFFFF"/>
                <w:sz w:val="20"/>
                <w:szCs w:val="20"/>
              </w:rPr>
              <w:t xml:space="preserve">Action to be Taken</w:t>
            </w:r>
          </w:p>
        </w:tc>
        <w:tc>
          <w:tcPr>
            <w:tcW w:type="dxa" w:w="1600"/>
            <w:shd w:fill="2E5C3E" w:color="auto" w:val="clear"/>
            <w:tcMar>
              <w:top w:type="dxa" w:w="100"/>
              <w:left w:type="dxa" w:w="100"/>
              <w:bottom w:type="dxa" w:w="100"/>
              <w:right w:type="dxa" w:w="100"/>
            </w:tcMar>
            <w:vAlign w:val="center"/>
          </w:tcPr>
          <w:p>
            <w:pPr>
              <w:jc w:val="center"/>
            </w:pPr>
            <w:r>
              <w:rPr>
                <w:b/>
                <w:bCs/>
                <w:color w:val="FFFFFF"/>
                <w:sz w:val="20"/>
                <w:szCs w:val="20"/>
              </w:rPr>
              <w:t xml:space="preserve">Person Involved</w:t>
            </w:r>
          </w:p>
        </w:tc>
        <w:tc>
          <w:tcPr>
            <w:tcW w:type="dxa" w:w="1600"/>
            <w:shd w:fill="2E5C3E" w:color="auto" w:val="clear"/>
            <w:tcMar>
              <w:top w:type="dxa" w:w="100"/>
              <w:left w:type="dxa" w:w="100"/>
              <w:bottom w:type="dxa" w:w="100"/>
              <w:right w:type="dxa" w:w="100"/>
            </w:tcMar>
            <w:vAlign w:val="center"/>
          </w:tcPr>
          <w:p>
            <w:pPr>
              <w:jc w:val="center"/>
            </w:pPr>
            <w:r>
              <w:rPr>
                <w:b/>
                <w:bCs/>
                <w:color w:val="FFFFFF"/>
                <w:sz w:val="20"/>
                <w:szCs w:val="20"/>
              </w:rPr>
              <w:t xml:space="preserve">Budget</w:t>
            </w:r>
          </w:p>
        </w:tc>
        <w:tc>
          <w:tcPr>
            <w:tcW w:type="dxa" w:w="1600"/>
            <w:shd w:fill="2E5C3E" w:color="auto" w:val="clear"/>
            <w:tcMar>
              <w:top w:type="dxa" w:w="100"/>
              <w:left w:type="dxa" w:w="100"/>
              <w:bottom w:type="dxa" w:w="100"/>
              <w:right w:type="dxa" w:w="100"/>
            </w:tcMar>
            <w:vAlign w:val="center"/>
          </w:tcPr>
          <w:p>
            <w:pPr>
              <w:jc w:val="center"/>
            </w:pPr>
            <w:r>
              <w:rPr>
                <w:b/>
                <w:bCs/>
                <w:color w:val="FFFFFF"/>
                <w:sz w:val="20"/>
                <w:szCs w:val="20"/>
              </w:rPr>
              <w:t xml:space="preserve">Time Frame</w:t>
            </w:r>
          </w:p>
        </w:tc>
      </w:tr>
      <w:tr>
        <w:tc>
          <w:tcPr>
            <w:tcW w:type="dxa" w:w="1700"/>
            <w:tcMar>
              <w:top w:type="dxa" w:w="100"/>
              <w:left w:type="dxa" w:w="120"/>
              <w:bottom w:type="dxa" w:w="100"/>
              <w:right w:type="dxa" w:w="120"/>
            </w:tcMar>
            <w:vAlign w:val="center"/>
          </w:tcPr>
          <w:p>
            <w:pPr>
              <w:spacing w:after="60"/>
              <w:jc w:val="left"/>
            </w:pPr>
            <w:r>
              <w:rPr>
                <w:b/>
                <w:bCs/>
                <w:sz w:val="19"/>
                <w:szCs w:val="19"/>
              </w:rPr>
              <w:t xml:space="preserve">Supplier and Inventory Sustainability</w:t>
            </w:r>
          </w:p>
          <w:p>
            <w:pPr>
              <w:spacing w:after="0"/>
              <w:jc w:val="left"/>
            </w:pPr>
            <w:r>
              <w:rPr>
                <w:b/>
                <w:bCs/>
                <w:sz w:val="19"/>
                <w:szCs w:val="19"/>
              </w:rPr>
              <w:t xml:space="preserve">(Composite WM: 3.25 – Agree)</w:t>
            </w:r>
          </w:p>
        </w:tc>
        <w:tc>
          <w:tcPr>
            <w:tcW w:type="dxa" w:w="2600"/>
            <w:tcMar>
              <w:top w:type="dxa" w:w="100"/>
              <w:left w:type="dxa" w:w="120"/>
              <w:bottom w:type="dxa" w:w="100"/>
              <w:right w:type="dxa" w:w="120"/>
            </w:tcMar>
            <w:vAlign w:val="center"/>
          </w:tcPr>
          <w:p>
            <w:pPr>
              <w:pStyle w:val="ListParagraph"/>
              <w:numPr>
                <w:ilvl w:val="0"/>
                <w:numId w:val="1"/>
              </w:numPr>
              <w:spacing w:after="60"/>
              <w:jc w:val="left"/>
            </w:pPr>
            <w:r>
              <w:rPr>
                <w:b w:val="false"/>
                <w:bCs w:val="false"/>
                <w:sz w:val="19"/>
                <w:szCs w:val="19"/>
              </w:rPr>
              <w:t xml:space="preserve">The store is slow to restock popular or high-demand items (WM 3.07, Agree).</w:t>
            </w:r>
          </w:p>
          <w:p>
            <w:pPr>
              <w:pStyle w:val="ListParagraph"/>
              <w:numPr>
                <w:ilvl w:val="0"/>
                <w:numId w:val="1"/>
              </w:numPr>
              <w:spacing w:after="0"/>
              <w:jc w:val="left"/>
            </w:pPr>
            <w:r>
              <w:rPr>
                <w:b w:val="false"/>
                <w:bCs w:val="false"/>
                <w:sz w:val="19"/>
                <w:szCs w:val="19"/>
              </w:rPr>
              <w:t xml:space="preserve">Some customers still need to purchase from other shops occasionally (WM 3.17, Agree).</w:t>
            </w:r>
          </w:p>
        </w:tc>
        <w:tc>
          <w:tcPr>
            <w:tcW w:type="dxa" w:w="2400"/>
            <w:tcMar>
              <w:top w:type="dxa" w:w="100"/>
              <w:left w:type="dxa" w:w="120"/>
              <w:bottom w:type="dxa" w:w="100"/>
              <w:right w:type="dxa" w:w="120"/>
            </w:tcMar>
            <w:vAlign w:val="center"/>
          </w:tcPr>
          <w:p>
            <w:pPr>
              <w:spacing w:after="0"/>
              <w:jc w:val="left"/>
            </w:pPr>
            <w:r>
              <w:rPr>
                <w:b w:val="false"/>
                <w:bCs w:val="false"/>
                <w:sz w:val="19"/>
                <w:szCs w:val="19"/>
              </w:rPr>
              <w:t xml:space="preserve">To improve stock replenishment speed and ensure consistent product availability during peak demand periods.</w:t>
            </w:r>
          </w:p>
        </w:tc>
        <w:tc>
          <w:tcPr>
            <w:tcW w:type="dxa" w:w="2900"/>
            <w:tcMar>
              <w:top w:type="dxa" w:w="100"/>
              <w:left w:type="dxa" w:w="120"/>
              <w:bottom w:type="dxa" w:w="100"/>
              <w:right w:type="dxa" w:w="120"/>
            </w:tcMar>
            <w:vAlign w:val="center"/>
          </w:tcPr>
          <w:p>
            <w:pPr>
              <w:pStyle w:val="ListParagraph"/>
              <w:numPr>
                <w:ilvl w:val="0"/>
                <w:numId w:val="1"/>
              </w:numPr>
              <w:spacing w:after="60"/>
              <w:jc w:val="left"/>
            </w:pPr>
            <w:r>
              <w:rPr>
                <w:b w:val="false"/>
                <w:bCs w:val="false"/>
                <w:sz w:val="19"/>
                <w:szCs w:val="19"/>
              </w:rPr>
              <w:t xml:space="preserve">Adopt a simple manual sales ledger or a low-cost digital inventory tracking app to monitor stock levels.</w:t>
            </w:r>
          </w:p>
          <w:p>
            <w:pPr>
              <w:pStyle w:val="ListParagraph"/>
              <w:numPr>
                <w:ilvl w:val="0"/>
                <w:numId w:val="1"/>
              </w:numPr>
              <w:spacing w:after="0"/>
              <w:jc w:val="left"/>
            </w:pPr>
            <w:r>
              <w:rPr>
                <w:b w:val="false"/>
                <w:bCs w:val="false"/>
                <w:sz w:val="19"/>
                <w:szCs w:val="19"/>
              </w:rPr>
              <w:t xml:space="preserve">Establish priority reorder points for fast-moving items such as poultry feeds, chick boosters, and vitamins.</w:t>
            </w:r>
          </w:p>
        </w:tc>
        <w:tc>
          <w:tcPr>
            <w:tcW w:type="dxa" w:w="1600"/>
            <w:tcMar>
              <w:top w:type="dxa" w:w="100"/>
              <w:left w:type="dxa" w:w="120"/>
              <w:bottom w:type="dxa" w:w="100"/>
              <w:right w:type="dxa" w:w="120"/>
            </w:tcMar>
            <w:vAlign w:val="center"/>
          </w:tcPr>
          <w:p>
            <w:pPr>
              <w:spacing w:after="60"/>
              <w:jc w:val="left"/>
            </w:pPr>
            <w:r>
              <w:rPr>
                <w:b w:val="false"/>
                <w:bCs w:val="false"/>
                <w:sz w:val="19"/>
                <w:szCs w:val="19"/>
              </w:rPr>
              <w:t xml:space="preserve">Store Owner</w:t>
            </w:r>
          </w:p>
          <w:p>
            <w:pPr>
              <w:spacing w:after="0"/>
              <w:jc w:val="left"/>
            </w:pPr>
            <w:r>
              <w:rPr>
                <w:b w:val="false"/>
                <w:bCs w:val="false"/>
                <w:sz w:val="19"/>
                <w:szCs w:val="19"/>
              </w:rPr>
              <w:t xml:space="preserve">Staff-in-charge of Inventory</w:t>
            </w:r>
          </w:p>
        </w:tc>
        <w:tc>
          <w:tcPr>
            <w:tcW w:type="dxa" w:w="1600"/>
            <w:tcMar>
              <w:top w:type="dxa" w:w="100"/>
              <w:left w:type="dxa" w:w="120"/>
              <w:bottom w:type="dxa" w:w="100"/>
              <w:right w:type="dxa" w:w="120"/>
            </w:tcMar>
            <w:vAlign w:val="center"/>
          </w:tcPr>
          <w:p>
            <w:pPr>
              <w:spacing w:after="60"/>
              <w:jc w:val="center"/>
            </w:pPr>
            <w:r>
              <w:rPr>
                <w:b w:val="false"/>
                <w:bCs w:val="false"/>
                <w:sz w:val="19"/>
                <w:szCs w:val="19"/>
              </w:rPr>
              <w:t xml:space="preserve">₱1,500 – ₱3,000</w:t>
            </w:r>
          </w:p>
          <w:p>
            <w:pPr>
              <w:spacing w:after="0"/>
              <w:jc w:val="center"/>
            </w:pPr>
            <w:r>
              <w:rPr>
                <w:b w:val="false"/>
                <w:bCs w:val="false"/>
                <w:sz w:val="19"/>
                <w:szCs w:val="19"/>
              </w:rPr>
              <w:t xml:space="preserve">(ledger/notebook or basic inventory app)</w:t>
            </w:r>
          </w:p>
        </w:tc>
        <w:tc>
          <w:tcPr>
            <w:tcW w:type="dxa" w:w="1600"/>
            <w:tcMar>
              <w:top w:type="dxa" w:w="100"/>
              <w:left w:type="dxa" w:w="120"/>
              <w:bottom w:type="dxa" w:w="100"/>
              <w:right w:type="dxa" w:w="120"/>
            </w:tcMar>
            <w:vAlign w:val="center"/>
          </w:tcPr>
          <w:p>
            <w:pPr>
              <w:spacing w:after="0"/>
              <w:jc w:val="center"/>
            </w:pPr>
            <w:r>
              <w:rPr>
                <w:b w:val="false"/>
                <w:bCs w:val="false"/>
                <w:sz w:val="19"/>
                <w:szCs w:val="19"/>
              </w:rPr>
              <w:t xml:space="preserve">1–2 months set-up; ongoing monitoring</w:t>
            </w:r>
          </w:p>
        </w:tc>
      </w:tr>
      <w:tr>
        <w:tc>
          <w:tcPr>
            <w:tcW w:type="dxa" w:w="1700"/>
            <w:shd w:fill="F2F7F2" w:color="auto" w:val="clear"/>
            <w:tcMar>
              <w:top w:type="dxa" w:w="100"/>
              <w:left w:type="dxa" w:w="120"/>
              <w:bottom w:type="dxa" w:w="100"/>
              <w:right w:type="dxa" w:w="120"/>
            </w:tcMar>
            <w:vAlign w:val="center"/>
          </w:tcPr>
          <w:p>
            <w:pPr>
              <w:spacing w:after="60"/>
              <w:jc w:val="left"/>
            </w:pPr>
            <w:r>
              <w:rPr>
                <w:b/>
                <w:bCs/>
                <w:sz w:val="19"/>
                <w:szCs w:val="19"/>
              </w:rPr>
              <w:t xml:space="preserve">Marketing and Digital Adaptation</w:t>
            </w:r>
          </w:p>
          <w:p>
            <w:pPr>
              <w:spacing w:after="0"/>
              <w:jc w:val="left"/>
            </w:pPr>
            <w:r>
              <w:rPr>
                <w:b/>
                <w:bCs/>
                <w:sz w:val="19"/>
                <w:szCs w:val="19"/>
              </w:rPr>
              <w:t xml:space="preserve">(Composite WM: 3.01 – Agree; lowest-rated dimension)</w:t>
            </w:r>
          </w:p>
        </w:tc>
        <w:tc>
          <w:tcPr>
            <w:tcW w:type="dxa" w:w="2600"/>
            <w:shd w:fill="F2F7F2" w:color="auto" w:val="clear"/>
            <w:tcMar>
              <w:top w:type="dxa" w:w="100"/>
              <w:left w:type="dxa" w:w="120"/>
              <w:bottom w:type="dxa" w:w="100"/>
              <w:right w:type="dxa" w:w="120"/>
            </w:tcMar>
            <w:vAlign w:val="center"/>
          </w:tcPr>
          <w:p>
            <w:pPr>
              <w:pStyle w:val="ListParagraph"/>
              <w:numPr>
                <w:ilvl w:val="0"/>
                <w:numId w:val="1"/>
              </w:numPr>
              <w:spacing w:after="60"/>
              <w:jc w:val="left"/>
            </w:pPr>
            <w:r>
              <w:rPr>
                <w:b w:val="false"/>
                <w:bCs w:val="false"/>
                <w:sz w:val="19"/>
                <w:szCs w:val="19"/>
              </w:rPr>
              <w:t xml:space="preserve">Customers are not consistently informed about products and store updates (WM 2.97, Agree).</w:t>
            </w:r>
          </w:p>
          <w:p>
            <w:pPr>
              <w:pStyle w:val="ListParagraph"/>
              <w:numPr>
                <w:ilvl w:val="0"/>
                <w:numId w:val="1"/>
              </w:numPr>
              <w:spacing w:after="60"/>
              <w:jc w:val="left"/>
            </w:pPr>
            <w:r>
              <w:rPr>
                <w:b w:val="false"/>
                <w:bCs w:val="false"/>
                <w:sz w:val="19"/>
                <w:szCs w:val="19"/>
              </w:rPr>
              <w:t xml:space="preserve">The store is difficult to reach through Facebook/Messenger (WM 2.83, Agree).</w:t>
            </w:r>
          </w:p>
          <w:p>
            <w:pPr>
              <w:pStyle w:val="ListParagraph"/>
              <w:numPr>
                <w:ilvl w:val="0"/>
                <w:numId w:val="1"/>
              </w:numPr>
              <w:spacing w:after="60"/>
              <w:jc w:val="left"/>
            </w:pPr>
            <w:r>
              <w:rPr>
                <w:b w:val="false"/>
                <w:bCs w:val="false"/>
                <w:sz w:val="19"/>
                <w:szCs w:val="19"/>
              </w:rPr>
              <w:t xml:space="preserve">Responses to online inquiries are slow or unhelpful (WM 2.80, Agree).</w:t>
            </w:r>
          </w:p>
          <w:p>
            <w:pPr>
              <w:pStyle w:val="ListParagraph"/>
              <w:numPr>
                <w:ilvl w:val="0"/>
                <w:numId w:val="1"/>
              </w:numPr>
              <w:spacing w:after="0"/>
              <w:jc w:val="left"/>
            </w:pPr>
            <w:r>
              <w:rPr>
                <w:b w:val="false"/>
                <w:bCs w:val="false"/>
                <w:sz w:val="19"/>
                <w:szCs w:val="19"/>
              </w:rPr>
              <w:t xml:space="preserve">Digital communication is not yet felt to be convenient by customers (WM 3.07, Agree).</w:t>
            </w:r>
          </w:p>
        </w:tc>
        <w:tc>
          <w:tcPr>
            <w:tcW w:type="dxa" w:w="2400"/>
            <w:shd w:fill="F2F7F2" w:color="auto" w:val="clear"/>
            <w:tcMar>
              <w:top w:type="dxa" w:w="100"/>
              <w:left w:type="dxa" w:w="120"/>
              <w:bottom w:type="dxa" w:w="100"/>
              <w:right w:type="dxa" w:w="120"/>
            </w:tcMar>
            <w:vAlign w:val="center"/>
          </w:tcPr>
          <w:p>
            <w:pPr>
              <w:spacing w:after="0"/>
              <w:jc w:val="left"/>
            </w:pPr>
            <w:r>
              <w:rPr>
                <w:b w:val="false"/>
                <w:bCs w:val="false"/>
                <w:sz w:val="19"/>
                <w:szCs w:val="19"/>
              </w:rPr>
              <w:t xml:space="preserve">To strengthen the store's digital presence and responsiveness in order to improve customer awareness, accessibility, and engagement.</w:t>
            </w:r>
          </w:p>
        </w:tc>
        <w:tc>
          <w:tcPr>
            <w:tcW w:type="dxa" w:w="2900"/>
            <w:shd w:fill="F2F7F2" w:color="auto" w:val="clear"/>
            <w:tcMar>
              <w:top w:type="dxa" w:w="100"/>
              <w:left w:type="dxa" w:w="120"/>
              <w:bottom w:type="dxa" w:w="100"/>
              <w:right w:type="dxa" w:w="120"/>
            </w:tcMar>
            <w:vAlign w:val="center"/>
          </w:tcPr>
          <w:p>
            <w:pPr>
              <w:pStyle w:val="ListParagraph"/>
              <w:numPr>
                <w:ilvl w:val="0"/>
                <w:numId w:val="1"/>
              </w:numPr>
              <w:spacing w:after="60"/>
              <w:jc w:val="left"/>
            </w:pPr>
            <w:r>
              <w:rPr>
                <w:b w:val="false"/>
                <w:bCs w:val="false"/>
                <w:sz w:val="19"/>
                <w:szCs w:val="19"/>
              </w:rPr>
              <w:t xml:space="preserve">Set up/activate an official Facebook Page and Messenger account with fixed daily response hours.</w:t>
            </w:r>
          </w:p>
          <w:p>
            <w:pPr>
              <w:pStyle w:val="ListParagraph"/>
              <w:numPr>
                <w:ilvl w:val="0"/>
                <w:numId w:val="1"/>
              </w:numPr>
              <w:spacing w:after="60"/>
              <w:jc w:val="left"/>
            </w:pPr>
            <w:r>
              <w:rPr>
                <w:b w:val="false"/>
                <w:bCs w:val="false"/>
                <w:sz w:val="19"/>
                <w:szCs w:val="19"/>
              </w:rPr>
              <w:t xml:space="preserve">Regularly post product availability, price lists, and promotional announcements.</w:t>
            </w:r>
          </w:p>
          <w:p>
            <w:pPr>
              <w:pStyle w:val="ListParagraph"/>
              <w:numPr>
                <w:ilvl w:val="0"/>
                <w:numId w:val="1"/>
              </w:numPr>
              <w:spacing w:after="0"/>
              <w:jc w:val="left"/>
            </w:pPr>
            <w:r>
              <w:rPr>
                <w:b w:val="false"/>
                <w:bCs w:val="false"/>
                <w:sz w:val="19"/>
                <w:szCs w:val="19"/>
              </w:rPr>
              <w:t xml:space="preserve">Assign a staff member to monitor and respond promptly to online inquiries.</w:t>
            </w:r>
          </w:p>
        </w:tc>
        <w:tc>
          <w:tcPr>
            <w:tcW w:type="dxa" w:w="1600"/>
            <w:shd w:fill="F2F7F2" w:color="auto" w:val="clear"/>
            <w:tcMar>
              <w:top w:type="dxa" w:w="100"/>
              <w:left w:type="dxa" w:w="120"/>
              <w:bottom w:type="dxa" w:w="100"/>
              <w:right w:type="dxa" w:w="120"/>
            </w:tcMar>
            <w:vAlign w:val="center"/>
          </w:tcPr>
          <w:p>
            <w:pPr>
              <w:spacing w:after="60"/>
              <w:jc w:val="left"/>
            </w:pPr>
            <w:r>
              <w:rPr>
                <w:b w:val="false"/>
                <w:bCs w:val="false"/>
                <w:sz w:val="19"/>
                <w:szCs w:val="19"/>
              </w:rPr>
              <w:t xml:space="preserve">Store Owner</w:t>
            </w:r>
          </w:p>
          <w:p>
            <w:pPr>
              <w:spacing w:after="0"/>
              <w:jc w:val="left"/>
            </w:pPr>
            <w:r>
              <w:rPr>
                <w:b w:val="false"/>
                <w:bCs w:val="false"/>
                <w:sz w:val="19"/>
                <w:szCs w:val="19"/>
              </w:rPr>
              <w:t xml:space="preserve">Designated Staff/Social Media Handler</w:t>
            </w:r>
          </w:p>
        </w:tc>
        <w:tc>
          <w:tcPr>
            <w:tcW w:type="dxa" w:w="1600"/>
            <w:shd w:fill="F2F7F2" w:color="auto" w:val="clear"/>
            <w:tcMar>
              <w:top w:type="dxa" w:w="100"/>
              <w:left w:type="dxa" w:w="120"/>
              <w:bottom w:type="dxa" w:w="100"/>
              <w:right w:type="dxa" w:w="120"/>
            </w:tcMar>
            <w:vAlign w:val="center"/>
          </w:tcPr>
          <w:p>
            <w:pPr>
              <w:spacing w:after="60"/>
              <w:jc w:val="center"/>
            </w:pPr>
            <w:r>
              <w:rPr>
                <w:b w:val="false"/>
                <w:bCs w:val="false"/>
                <w:sz w:val="19"/>
                <w:szCs w:val="19"/>
              </w:rPr>
              <w:t xml:space="preserve">₱500 – ₱1,000 / month</w:t>
            </w:r>
          </w:p>
          <w:p>
            <w:pPr>
              <w:spacing w:after="0"/>
              <w:jc w:val="center"/>
            </w:pPr>
            <w:r>
              <w:rPr>
                <w:b w:val="false"/>
                <w:bCs w:val="false"/>
                <w:sz w:val="19"/>
                <w:szCs w:val="19"/>
              </w:rPr>
              <w:t xml:space="preserve">(mobile data/load, occasional boosted posts; page set-up is free)</w:t>
            </w:r>
          </w:p>
        </w:tc>
        <w:tc>
          <w:tcPr>
            <w:tcW w:type="dxa" w:w="1600"/>
            <w:shd w:fill="F2F7F2" w:color="auto" w:val="clear"/>
            <w:tcMar>
              <w:top w:type="dxa" w:w="100"/>
              <w:left w:type="dxa" w:w="120"/>
              <w:bottom w:type="dxa" w:w="100"/>
              <w:right w:type="dxa" w:w="120"/>
            </w:tcMar>
            <w:vAlign w:val="center"/>
          </w:tcPr>
          <w:p>
            <w:pPr>
              <w:spacing w:after="0"/>
              <w:jc w:val="center"/>
            </w:pPr>
            <w:r>
              <w:rPr>
                <w:b w:val="false"/>
                <w:bCs w:val="false"/>
                <w:sz w:val="19"/>
                <w:szCs w:val="19"/>
              </w:rPr>
              <w:t xml:space="preserve">2–4 weeks initial set-up; ongoing/continuous</w:t>
            </w:r>
          </w:p>
        </w:tc>
      </w:tr>
      <w:tr>
        <w:tc>
          <w:tcPr>
            <w:tcW w:type="dxa" w:w="1700"/>
            <w:tcMar>
              <w:top w:type="dxa" w:w="100"/>
              <w:left w:type="dxa" w:w="120"/>
              <w:bottom w:type="dxa" w:w="100"/>
              <w:right w:type="dxa" w:w="120"/>
            </w:tcMar>
            <w:vAlign w:val="center"/>
          </w:tcPr>
          <w:p>
            <w:pPr>
              <w:spacing w:after="60"/>
              <w:jc w:val="left"/>
            </w:pPr>
            <w:r>
              <w:rPr>
                <w:b/>
                <w:bCs/>
                <w:sz w:val="19"/>
                <w:szCs w:val="19"/>
              </w:rPr>
              <w:t xml:space="preserve">Operational Sustainability as a Micro-Business</w:t>
            </w:r>
          </w:p>
          <w:p>
            <w:pPr>
              <w:spacing w:after="0"/>
              <w:jc w:val="left"/>
            </w:pPr>
            <w:r>
              <w:rPr>
                <w:b/>
                <w:bCs/>
                <w:sz w:val="19"/>
                <w:szCs w:val="19"/>
              </w:rPr>
              <w:t xml:space="preserve">(Composite WM: 3.35 – Strongly Agree; 1 indicator rated Agree)</w:t>
            </w:r>
          </w:p>
        </w:tc>
        <w:tc>
          <w:tcPr>
            <w:tcW w:type="dxa" w:w="2600"/>
            <w:tcMar>
              <w:top w:type="dxa" w:w="100"/>
              <w:left w:type="dxa" w:w="120"/>
              <w:bottom w:type="dxa" w:w="100"/>
              <w:right w:type="dxa" w:w="120"/>
            </w:tcMar>
            <w:vAlign w:val="center"/>
          </w:tcPr>
          <w:p>
            <w:pPr>
              <w:spacing w:after="0"/>
              <w:jc w:val="left"/>
            </w:pPr>
            <w:r>
              <w:rPr>
                <w:b w:val="false"/>
                <w:bCs w:val="false"/>
                <w:sz w:val="19"/>
                <w:szCs w:val="19"/>
              </w:rPr>
              <w:t xml:space="preserve">Customers have not fully observed the store's efforts to continuously improve its services (WM 3.20, Agree).</w:t>
            </w:r>
          </w:p>
        </w:tc>
        <w:tc>
          <w:tcPr>
            <w:tcW w:type="dxa" w:w="2400"/>
            <w:tcMar>
              <w:top w:type="dxa" w:w="100"/>
              <w:left w:type="dxa" w:w="120"/>
              <w:bottom w:type="dxa" w:w="100"/>
              <w:right w:type="dxa" w:w="120"/>
            </w:tcMar>
            <w:vAlign w:val="center"/>
          </w:tcPr>
          <w:p>
            <w:pPr>
              <w:spacing w:after="0"/>
              <w:jc w:val="left"/>
            </w:pPr>
            <w:r>
              <w:rPr>
                <w:b w:val="false"/>
                <w:bCs w:val="false"/>
                <w:sz w:val="19"/>
                <w:szCs w:val="19"/>
              </w:rPr>
              <w:t xml:space="preserve">To make the store's operational improvements and upgrades more visible and known to customers.</w:t>
            </w:r>
          </w:p>
        </w:tc>
        <w:tc>
          <w:tcPr>
            <w:tcW w:type="dxa" w:w="2900"/>
            <w:tcMar>
              <w:top w:type="dxa" w:w="100"/>
              <w:left w:type="dxa" w:w="120"/>
              <w:bottom w:type="dxa" w:w="100"/>
              <w:right w:type="dxa" w:w="120"/>
            </w:tcMar>
            <w:vAlign w:val="center"/>
          </w:tcPr>
          <w:p>
            <w:pPr>
              <w:pStyle w:val="ListParagraph"/>
              <w:numPr>
                <w:ilvl w:val="0"/>
                <w:numId w:val="1"/>
              </w:numPr>
              <w:spacing w:after="60"/>
              <w:jc w:val="left"/>
            </w:pPr>
            <w:r>
              <w:rPr>
                <w:b w:val="false"/>
                <w:bCs w:val="false"/>
                <w:sz w:val="19"/>
                <w:szCs w:val="19"/>
              </w:rPr>
              <w:t xml:space="preserve">Post in-store notices about new products, service improvements, or operational updates.</w:t>
            </w:r>
          </w:p>
          <w:p>
            <w:pPr>
              <w:pStyle w:val="ListParagraph"/>
              <w:numPr>
                <w:ilvl w:val="0"/>
                <w:numId w:val="1"/>
              </w:numPr>
              <w:spacing w:after="0"/>
              <w:jc w:val="left"/>
            </w:pPr>
            <w:r>
              <w:rPr>
                <w:b w:val="false"/>
                <w:bCs w:val="false"/>
                <w:sz w:val="19"/>
                <w:szCs w:val="19"/>
              </w:rPr>
              <w:t xml:space="preserve">Install a simple customer suggestion/feedback box to demonstrate commitment to continuous improvement.</w:t>
            </w:r>
          </w:p>
        </w:tc>
        <w:tc>
          <w:tcPr>
            <w:tcW w:type="dxa" w:w="1600"/>
            <w:tcMar>
              <w:top w:type="dxa" w:w="100"/>
              <w:left w:type="dxa" w:w="120"/>
              <w:bottom w:type="dxa" w:w="100"/>
              <w:right w:type="dxa" w:w="120"/>
            </w:tcMar>
            <w:vAlign w:val="center"/>
          </w:tcPr>
          <w:p>
            <w:pPr>
              <w:spacing w:after="60"/>
              <w:jc w:val="left"/>
            </w:pPr>
            <w:r>
              <w:rPr>
                <w:b w:val="false"/>
                <w:bCs w:val="false"/>
                <w:sz w:val="19"/>
                <w:szCs w:val="19"/>
              </w:rPr>
              <w:t xml:space="preserve">Store Owner</w:t>
            </w:r>
          </w:p>
          <w:p>
            <w:pPr>
              <w:spacing w:after="0"/>
              <w:jc w:val="left"/>
            </w:pPr>
            <w:r>
              <w:rPr>
                <w:b w:val="false"/>
                <w:bCs w:val="false"/>
                <w:sz w:val="19"/>
                <w:szCs w:val="19"/>
              </w:rPr>
              <w:t xml:space="preserve">All Staff</w:t>
            </w:r>
          </w:p>
        </w:tc>
        <w:tc>
          <w:tcPr>
            <w:tcW w:type="dxa" w:w="1600"/>
            <w:tcMar>
              <w:top w:type="dxa" w:w="100"/>
              <w:left w:type="dxa" w:w="120"/>
              <w:bottom w:type="dxa" w:w="100"/>
              <w:right w:type="dxa" w:w="120"/>
            </w:tcMar>
            <w:vAlign w:val="center"/>
          </w:tcPr>
          <w:p>
            <w:pPr>
              <w:spacing w:after="60"/>
              <w:jc w:val="center"/>
            </w:pPr>
            <w:r>
              <w:rPr>
                <w:b w:val="false"/>
                <w:bCs w:val="false"/>
                <w:sz w:val="19"/>
                <w:szCs w:val="19"/>
              </w:rPr>
              <w:t xml:space="preserve">₱300 – ₱800</w:t>
            </w:r>
          </w:p>
          <w:p>
            <w:pPr>
              <w:spacing w:after="0"/>
              <w:jc w:val="center"/>
            </w:pPr>
            <w:r>
              <w:rPr>
                <w:b w:val="false"/>
                <w:bCs w:val="false"/>
                <w:sz w:val="19"/>
                <w:szCs w:val="19"/>
              </w:rPr>
              <w:t xml:space="preserve">(printed notices/tarpaulin, suggestion box materials)</w:t>
            </w:r>
          </w:p>
        </w:tc>
        <w:tc>
          <w:tcPr>
            <w:tcW w:type="dxa" w:w="1600"/>
            <w:tcMar>
              <w:top w:type="dxa" w:w="100"/>
              <w:left w:type="dxa" w:w="120"/>
              <w:bottom w:type="dxa" w:w="100"/>
              <w:right w:type="dxa" w:w="120"/>
            </w:tcMar>
            <w:vAlign w:val="center"/>
          </w:tcPr>
          <w:p>
            <w:pPr>
              <w:spacing w:after="0"/>
              <w:jc w:val="center"/>
            </w:pPr>
            <w:r>
              <w:rPr>
                <w:b w:val="false"/>
                <w:bCs w:val="false"/>
                <w:sz w:val="19"/>
                <w:szCs w:val="19"/>
              </w:rPr>
              <w:t xml:space="preserve">2–4 weeks</w:t>
            </w:r>
          </w:p>
        </w:tc>
      </w:tr>
      <w:tr>
        <w:tc>
          <w:tcPr>
            <w:tcW w:type="dxa" w:w="1700"/>
            <w:shd w:fill="F2F7F2" w:color="auto" w:val="clear"/>
            <w:tcMar>
              <w:top w:type="dxa" w:w="100"/>
              <w:left w:type="dxa" w:w="120"/>
              <w:bottom w:type="dxa" w:w="100"/>
              <w:right w:type="dxa" w:w="120"/>
            </w:tcMar>
            <w:vAlign w:val="center"/>
          </w:tcPr>
          <w:p>
            <w:pPr>
              <w:spacing w:after="60"/>
              <w:jc w:val="left"/>
            </w:pPr>
            <w:r>
              <w:rPr>
                <w:b/>
                <w:bCs/>
                <w:sz w:val="19"/>
                <w:szCs w:val="19"/>
              </w:rPr>
              <w:t xml:space="preserve">Pricing</w:t>
            </w:r>
          </w:p>
          <w:p>
            <w:pPr>
              <w:spacing w:after="0"/>
              <w:jc w:val="left"/>
            </w:pPr>
            <w:r>
              <w:rPr>
                <w:b/>
                <w:bCs/>
                <w:sz w:val="19"/>
                <w:szCs w:val="19"/>
              </w:rPr>
              <w:t xml:space="preserve">(Composite WM: 3.23 – Agree; lowest-rated satisfaction dimension)</w:t>
            </w:r>
          </w:p>
        </w:tc>
        <w:tc>
          <w:tcPr>
            <w:tcW w:type="dxa" w:w="2600"/>
            <w:shd w:fill="F2F7F2" w:color="auto" w:val="clear"/>
            <w:tcMar>
              <w:top w:type="dxa" w:w="100"/>
              <w:left w:type="dxa" w:w="120"/>
              <w:bottom w:type="dxa" w:w="100"/>
              <w:right w:type="dxa" w:w="120"/>
            </w:tcMar>
            <w:vAlign w:val="center"/>
          </w:tcPr>
          <w:p>
            <w:pPr>
              <w:spacing w:after="0"/>
              <w:jc w:val="left"/>
            </w:pPr>
            <w:r>
              <w:rPr>
                <w:b w:val="false"/>
                <w:bCs w:val="false"/>
                <w:sz w:val="19"/>
                <w:szCs w:val="19"/>
              </w:rPr>
              <w:t xml:space="preserve">Discounts and promotions are perceived as limited or not attractive enough (WM 2.87, Agree).</w:t>
            </w:r>
          </w:p>
        </w:tc>
        <w:tc>
          <w:tcPr>
            <w:tcW w:type="dxa" w:w="2400"/>
            <w:shd w:fill="F2F7F2" w:color="auto" w:val="clear"/>
            <w:tcMar>
              <w:top w:type="dxa" w:w="100"/>
              <w:left w:type="dxa" w:w="120"/>
              <w:bottom w:type="dxa" w:w="100"/>
              <w:right w:type="dxa" w:w="120"/>
            </w:tcMar>
            <w:vAlign w:val="center"/>
          </w:tcPr>
          <w:p>
            <w:pPr>
              <w:spacing w:after="0"/>
              <w:jc w:val="left"/>
            </w:pPr>
            <w:r>
              <w:rPr>
                <w:b w:val="false"/>
                <w:bCs w:val="false"/>
                <w:sz w:val="19"/>
                <w:szCs w:val="19"/>
              </w:rPr>
              <w:t xml:space="preserve">To develop and clearly communicate attractive, accessible promotional offers that improve pricing satisfaction.</w:t>
            </w:r>
          </w:p>
        </w:tc>
        <w:tc>
          <w:tcPr>
            <w:tcW w:type="dxa" w:w="2900"/>
            <w:shd w:fill="F2F7F2" w:color="auto" w:val="clear"/>
            <w:tcMar>
              <w:top w:type="dxa" w:w="100"/>
              <w:left w:type="dxa" w:w="120"/>
              <w:bottom w:type="dxa" w:w="100"/>
              <w:right w:type="dxa" w:w="120"/>
            </w:tcMar>
            <w:vAlign w:val="center"/>
          </w:tcPr>
          <w:p>
            <w:pPr>
              <w:pStyle w:val="ListParagraph"/>
              <w:numPr>
                <w:ilvl w:val="0"/>
                <w:numId w:val="1"/>
              </w:numPr>
              <w:spacing w:after="60"/>
              <w:jc w:val="left"/>
            </w:pPr>
            <w:r>
              <w:rPr>
                <w:b w:val="false"/>
                <w:bCs w:val="false"/>
                <w:sz w:val="19"/>
                <w:szCs w:val="19"/>
              </w:rPr>
              <w:t xml:space="preserve">Introduce a simple loyalty/discount card for regular ("suki") customers.</w:t>
            </w:r>
          </w:p>
          <w:p>
            <w:pPr>
              <w:pStyle w:val="ListParagraph"/>
              <w:numPr>
                <w:ilvl w:val="0"/>
                <w:numId w:val="1"/>
              </w:numPr>
              <w:spacing w:after="60"/>
              <w:jc w:val="left"/>
            </w:pPr>
            <w:r>
              <w:rPr>
                <w:b w:val="false"/>
                <w:bCs w:val="false"/>
                <w:sz w:val="19"/>
                <w:szCs w:val="19"/>
              </w:rPr>
              <w:t xml:space="preserve">Offer bulk-purchase incentives for feeds and other high-volume items.</w:t>
            </w:r>
          </w:p>
          <w:p>
            <w:pPr>
              <w:pStyle w:val="ListParagraph"/>
              <w:numPr>
                <w:ilvl w:val="0"/>
                <w:numId w:val="1"/>
              </w:numPr>
              <w:spacing w:after="0"/>
              <w:jc w:val="left"/>
            </w:pPr>
            <w:r>
              <w:rPr>
                <w:b w:val="false"/>
                <w:bCs w:val="false"/>
                <w:sz w:val="19"/>
                <w:szCs w:val="19"/>
              </w:rPr>
              <w:t xml:space="preserve">Post promo signage in-store and on social media to raise awareness of existing discounts.</w:t>
            </w:r>
          </w:p>
        </w:tc>
        <w:tc>
          <w:tcPr>
            <w:tcW w:type="dxa" w:w="1600"/>
            <w:shd w:fill="F2F7F2" w:color="auto" w:val="clear"/>
            <w:tcMar>
              <w:top w:type="dxa" w:w="100"/>
              <w:left w:type="dxa" w:w="120"/>
              <w:bottom w:type="dxa" w:w="100"/>
              <w:right w:type="dxa" w:w="120"/>
            </w:tcMar>
            <w:vAlign w:val="center"/>
          </w:tcPr>
          <w:p>
            <w:pPr>
              <w:spacing w:after="60"/>
              <w:jc w:val="left"/>
            </w:pPr>
            <w:r>
              <w:rPr>
                <w:b w:val="false"/>
                <w:bCs w:val="false"/>
                <w:sz w:val="19"/>
                <w:szCs w:val="19"/>
              </w:rPr>
              <w:t xml:space="preserve">Store Owner</w:t>
            </w:r>
          </w:p>
          <w:p>
            <w:pPr>
              <w:spacing w:after="0"/>
              <w:jc w:val="left"/>
            </w:pPr>
            <w:r>
              <w:rPr>
                <w:b w:val="false"/>
                <w:bCs w:val="false"/>
                <w:sz w:val="19"/>
                <w:szCs w:val="19"/>
              </w:rPr>
              <w:t xml:space="preserve">Staff/Cashier</w:t>
            </w:r>
          </w:p>
        </w:tc>
        <w:tc>
          <w:tcPr>
            <w:tcW w:type="dxa" w:w="1600"/>
            <w:shd w:fill="F2F7F2" w:color="auto" w:val="clear"/>
            <w:tcMar>
              <w:top w:type="dxa" w:w="100"/>
              <w:left w:type="dxa" w:w="120"/>
              <w:bottom w:type="dxa" w:w="100"/>
              <w:right w:type="dxa" w:w="120"/>
            </w:tcMar>
            <w:vAlign w:val="center"/>
          </w:tcPr>
          <w:p>
            <w:pPr>
              <w:spacing w:after="60"/>
              <w:jc w:val="center"/>
            </w:pPr>
            <w:r>
              <w:rPr>
                <w:b w:val="false"/>
                <w:bCs w:val="false"/>
                <w:sz w:val="19"/>
                <w:szCs w:val="19"/>
              </w:rPr>
              <w:t xml:space="preserve">₱1,000 – ₱2,000</w:t>
            </w:r>
          </w:p>
          <w:p>
            <w:pPr>
              <w:spacing w:after="0"/>
              <w:jc w:val="center"/>
            </w:pPr>
            <w:r>
              <w:rPr>
                <w:b w:val="false"/>
                <w:bCs w:val="false"/>
                <w:sz w:val="19"/>
                <w:szCs w:val="19"/>
              </w:rPr>
              <w:t xml:space="preserve">(loyalty cards, in-store promo signage)</w:t>
            </w:r>
          </w:p>
        </w:tc>
        <w:tc>
          <w:tcPr>
            <w:tcW w:type="dxa" w:w="1600"/>
            <w:shd w:fill="F2F7F2" w:color="auto" w:val="clear"/>
            <w:tcMar>
              <w:top w:type="dxa" w:w="100"/>
              <w:left w:type="dxa" w:w="120"/>
              <w:bottom w:type="dxa" w:w="100"/>
              <w:right w:type="dxa" w:w="120"/>
            </w:tcMar>
            <w:vAlign w:val="center"/>
          </w:tcPr>
          <w:p>
            <w:pPr>
              <w:spacing w:after="0"/>
              <w:jc w:val="center"/>
            </w:pPr>
            <w:r>
              <w:rPr>
                <w:b w:val="false"/>
                <w:bCs w:val="false"/>
                <w:sz w:val="19"/>
                <w:szCs w:val="19"/>
              </w:rPr>
              <w:t xml:space="preserve">1–2 months</w:t>
            </w:r>
          </w:p>
        </w:tc>
      </w:tr>
    </w:tbl>
    <w:p>
      <w:pPr>
        <w:spacing w:before="200"/>
      </w:pPr>
    </w:p>
    <w:p>
      <w:r>
        <w:rPr>
          <w:b/>
          <w:bCs/>
          <w:sz w:val="18"/>
          <w:szCs w:val="18"/>
        </w:rPr>
        <w:t xml:space="preserve">Note: </w:t>
      </w:r>
      <w:r>
        <w:rPr>
          <w:i/>
          <w:iCs/>
          <w:sz w:val="18"/>
          <w:szCs w:val="18"/>
        </w:rPr>
        <w:t xml:space="preserve">Budget figures are researcher-proposed estimates appropriate for a micro-enterprise (₱1.5M capital, 4 employees) and may be adjusted by the store owner based on actual costs and available resources.</w:t>
      </w:r>
    </w:p>
    <w:sectPr>
      <w:pgSz w:w="12240" w:h="15840" w:orient="landscape"/>
      <w:pgMar w:top="900" w:right="720" w:bottom="9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2026-07-02T13:21:09.457Z</dcterms:created>
  <dcterms:modified xsi:type="dcterms:W3CDTF">2026-07-02T13:21:09.457Z</dcterms:modified>
</cp:coreProperties>
</file>

<file path=docProps/custom.xml><?xml version="1.0" encoding="utf-8"?>
<Properties xmlns="http://schemas.openxmlformats.org/officeDocument/2006/custom-properties" xmlns:vt="http://schemas.openxmlformats.org/officeDocument/2006/docPropsVTypes"/>
</file>