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494EF" w14:textId="77777777" w:rsidR="009C231C" w:rsidRDefault="009C231C" w:rsidP="009C231C">
      <w:pPr>
        <w:rPr>
          <w:b/>
          <w:bCs/>
          <w:u w:val="single"/>
        </w:rPr>
      </w:pPr>
      <w:r w:rsidRPr="00940197">
        <w:rPr>
          <w:b/>
          <w:bCs/>
          <w:u w:val="single"/>
        </w:rPr>
        <w:t>Grand River Enterprises Six Nations, Ltd., et al. v. United States of America</w:t>
      </w:r>
      <w:r>
        <w:rPr>
          <w:rStyle w:val="FootnoteReference"/>
          <w:b/>
          <w:bCs/>
          <w:u w:val="single"/>
        </w:rPr>
        <w:footnoteReference w:id="1"/>
      </w:r>
      <w:r w:rsidRPr="00940197">
        <w:rPr>
          <w:b/>
          <w:bCs/>
          <w:u w:val="single"/>
        </w:rPr>
        <w:t>: challenge of the Master Settlement Agreement (</w:t>
      </w:r>
      <w:proofErr w:type="spellStart"/>
      <w:r w:rsidRPr="00940197">
        <w:rPr>
          <w:b/>
          <w:bCs/>
          <w:u w:val="single"/>
        </w:rPr>
        <w:t>MSA</w:t>
      </w:r>
      <w:proofErr w:type="spellEnd"/>
      <w:r w:rsidRPr="00940197">
        <w:rPr>
          <w:b/>
          <w:bCs/>
          <w:u w:val="single"/>
        </w:rPr>
        <w:t xml:space="preserve">) </w:t>
      </w:r>
    </w:p>
    <w:p w14:paraId="4902715C" w14:textId="77777777" w:rsidR="009C231C" w:rsidRDefault="009C231C" w:rsidP="009C231C">
      <w:pPr>
        <w:pStyle w:val="ListParagraph"/>
        <w:numPr>
          <w:ilvl w:val="0"/>
          <w:numId w:val="1"/>
        </w:numPr>
      </w:pPr>
      <w:r w:rsidRPr="000571DA">
        <w:t>In 1998, several U.S.</w:t>
      </w:r>
      <w:r>
        <w:t xml:space="preserve"> S</w:t>
      </w:r>
      <w:r w:rsidRPr="000571DA">
        <w:t xml:space="preserve">tates and territories and major U.S. tobacco companies concluded </w:t>
      </w:r>
      <w:r>
        <w:t>the Master S</w:t>
      </w:r>
      <w:r w:rsidRPr="000571DA">
        <w:t xml:space="preserve">ettlement </w:t>
      </w:r>
      <w:r>
        <w:t>A</w:t>
      </w:r>
      <w:r w:rsidRPr="000571DA">
        <w:t>greement</w:t>
      </w:r>
      <w:r>
        <w:t xml:space="preserve"> (‘</w:t>
      </w:r>
      <w:proofErr w:type="spellStart"/>
      <w:r>
        <w:t>MSA</w:t>
      </w:r>
      <w:proofErr w:type="spellEnd"/>
      <w:r>
        <w:t>’)</w:t>
      </w:r>
      <w:r w:rsidRPr="000571DA">
        <w:t xml:space="preserve"> to settle litigation </w:t>
      </w:r>
      <w:r>
        <w:t>between</w:t>
      </w:r>
      <w:r w:rsidRPr="000571DA">
        <w:t xml:space="preserve"> U.S. states </w:t>
      </w:r>
      <w:r>
        <w:t xml:space="preserve">and </w:t>
      </w:r>
      <w:r w:rsidRPr="000571DA">
        <w:t>certain U.S. cigarette manufacturers. The settlement provided for</w:t>
      </w:r>
      <w:r>
        <w:t xml:space="preserve">: </w:t>
      </w:r>
    </w:p>
    <w:p w14:paraId="7DC3BCC5" w14:textId="77777777" w:rsidR="009C231C" w:rsidRDefault="009C231C" w:rsidP="009C231C">
      <w:pPr>
        <w:pStyle w:val="ListParagraph"/>
        <w:numPr>
          <w:ilvl w:val="1"/>
          <w:numId w:val="1"/>
        </w:numPr>
      </w:pPr>
      <w:proofErr w:type="gramStart"/>
      <w:r w:rsidRPr="0082341F">
        <w:t>compensation</w:t>
      </w:r>
      <w:proofErr w:type="gramEnd"/>
      <w:r w:rsidRPr="0082341F">
        <w:t xml:space="preserve"> of costs related to tobacco diseases and required the tobacco companies to restrict their advertising, sponsorship, lobbying, and litigation activities (particularly those targeting youth); </w:t>
      </w:r>
    </w:p>
    <w:p w14:paraId="592DD66A" w14:textId="77777777" w:rsidR="009C231C" w:rsidRDefault="009C231C" w:rsidP="009C231C">
      <w:pPr>
        <w:pStyle w:val="ListParagraph"/>
        <w:numPr>
          <w:ilvl w:val="1"/>
          <w:numId w:val="1"/>
        </w:numPr>
      </w:pPr>
      <w:proofErr w:type="gramStart"/>
      <w:r w:rsidRPr="0082341F">
        <w:t>dissolution</w:t>
      </w:r>
      <w:proofErr w:type="gramEnd"/>
      <w:r w:rsidRPr="0082341F">
        <w:t xml:space="preserve"> of three specific tobacco trade groups; </w:t>
      </w:r>
    </w:p>
    <w:p w14:paraId="4E877C4B" w14:textId="77777777" w:rsidR="009C231C" w:rsidRDefault="009C231C" w:rsidP="009C231C">
      <w:pPr>
        <w:pStyle w:val="ListParagraph"/>
        <w:numPr>
          <w:ilvl w:val="1"/>
          <w:numId w:val="1"/>
        </w:numPr>
      </w:pPr>
      <w:proofErr w:type="gramStart"/>
      <w:r w:rsidRPr="0082341F">
        <w:t>public</w:t>
      </w:r>
      <w:proofErr w:type="gramEnd"/>
      <w:r w:rsidRPr="0082341F">
        <w:t xml:space="preserve"> disclosure of the documents disclosed during the litigation; </w:t>
      </w:r>
    </w:p>
    <w:p w14:paraId="3EB836A4" w14:textId="77777777" w:rsidR="009C231C" w:rsidRDefault="009C231C" w:rsidP="009C231C">
      <w:pPr>
        <w:pStyle w:val="ListParagraph"/>
        <w:numPr>
          <w:ilvl w:val="1"/>
          <w:numId w:val="1"/>
        </w:numPr>
      </w:pPr>
      <w:proofErr w:type="gramStart"/>
      <w:r w:rsidRPr="0082341F">
        <w:t>funding</w:t>
      </w:r>
      <w:proofErr w:type="gramEnd"/>
      <w:r w:rsidRPr="0082341F">
        <w:t xml:space="preserve"> of an anti-tobacco education campaign; and </w:t>
      </w:r>
    </w:p>
    <w:p w14:paraId="3C1512E9" w14:textId="77777777" w:rsidR="009C231C" w:rsidRPr="0082341F" w:rsidRDefault="009C231C" w:rsidP="009C231C">
      <w:pPr>
        <w:pStyle w:val="ListParagraph"/>
        <w:numPr>
          <w:ilvl w:val="1"/>
          <w:numId w:val="1"/>
        </w:numPr>
      </w:pPr>
      <w:proofErr w:type="gramStart"/>
      <w:r w:rsidRPr="0082341F">
        <w:t>an</w:t>
      </w:r>
      <w:proofErr w:type="gramEnd"/>
      <w:r w:rsidRPr="0082341F">
        <w:t xml:space="preserve"> annual payments to the settling states.</w:t>
      </w:r>
    </w:p>
    <w:p w14:paraId="3B1EDFF4" w14:textId="3969584F" w:rsidR="009C231C" w:rsidRDefault="009C231C" w:rsidP="009C231C">
      <w:pPr>
        <w:pStyle w:val="ListParagraph"/>
        <w:numPr>
          <w:ilvl w:val="0"/>
          <w:numId w:val="1"/>
        </w:numPr>
      </w:pPr>
      <w:r>
        <w:t xml:space="preserve">The participating </w:t>
      </w:r>
      <w:r w:rsidRPr="000571DA">
        <w:t xml:space="preserve">States </w:t>
      </w:r>
      <w:r>
        <w:t xml:space="preserve">undertook </w:t>
      </w:r>
      <w:r w:rsidRPr="000571DA">
        <w:t xml:space="preserve">to adopt escrow </w:t>
      </w:r>
      <w:r>
        <w:t>and</w:t>
      </w:r>
      <w:r w:rsidRPr="000571DA">
        <w:t xml:space="preserve"> complementary legislation.</w:t>
      </w:r>
    </w:p>
    <w:p w14:paraId="1D4C48CE" w14:textId="77777777" w:rsidR="003449E5" w:rsidRPr="00940197" w:rsidRDefault="003449E5" w:rsidP="003449E5">
      <w:pPr>
        <w:pStyle w:val="Heading5"/>
      </w:pPr>
      <w:r w:rsidRPr="00940197">
        <w:t>Eli Lilly v. Canada</w:t>
      </w:r>
      <w:r>
        <w:t xml:space="preserve">, NAFTA, </w:t>
      </w:r>
      <w:proofErr w:type="spellStart"/>
      <w:r>
        <w:t>UNCITRAL</w:t>
      </w:r>
      <w:proofErr w:type="spellEnd"/>
      <w:r w:rsidRPr="00940197">
        <w:t>: claim concerning medicine patents</w:t>
      </w:r>
    </w:p>
    <w:p w14:paraId="2F5B1FAE" w14:textId="77777777" w:rsidR="003449E5" w:rsidRPr="00CB72F2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CB72F2">
        <w:rPr>
          <w:color w:val="000000"/>
          <w:lang w:eastAsia="zh-CN"/>
        </w:rPr>
        <w:t>Claimant commenced the arbitration under NAFTA, Chapter 11 by its Notice of Arbitration on 12 September 2013.</w:t>
      </w:r>
    </w:p>
    <w:p w14:paraId="55DB2269" w14:textId="77777777" w:rsidR="003449E5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5477FC">
        <w:rPr>
          <w:color w:val="000000"/>
          <w:lang w:eastAsia="zh-CN"/>
        </w:rPr>
        <w:t xml:space="preserve">After several rounds of party submissions, several amicus interventions and a hearing, the tribunal </w:t>
      </w:r>
      <w:r>
        <w:rPr>
          <w:color w:val="000000"/>
          <w:lang w:eastAsia="zh-CN"/>
        </w:rPr>
        <w:t>issued its award on 16 March 2017.</w:t>
      </w:r>
      <w:r>
        <w:rPr>
          <w:rStyle w:val="FootnoteReference"/>
          <w:color w:val="000000"/>
          <w:lang w:eastAsia="zh-CN"/>
        </w:rPr>
        <w:footnoteReference w:id="2"/>
      </w:r>
    </w:p>
    <w:p w14:paraId="52C40BEE" w14:textId="77777777" w:rsidR="003449E5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The tribunal </w:t>
      </w:r>
      <w:r w:rsidRPr="005477FC">
        <w:rPr>
          <w:color w:val="000000"/>
          <w:lang w:eastAsia="zh-CN"/>
        </w:rPr>
        <w:t>dismissed the claims, stating that the claimant failed to set the prima facie claim of expropriation or the minimum sta</w:t>
      </w:r>
      <w:r>
        <w:rPr>
          <w:color w:val="000000"/>
          <w:lang w:eastAsia="zh-CN"/>
        </w:rPr>
        <w:t>ndard of treatment under NAFTA.</w:t>
      </w:r>
    </w:p>
    <w:p w14:paraId="460A97FB" w14:textId="77777777" w:rsidR="003449E5" w:rsidRPr="005477FC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5477FC">
        <w:rPr>
          <w:color w:val="000000"/>
          <w:lang w:eastAsia="zh-CN"/>
        </w:rPr>
        <w:t>Nor did the tribunal find the subject measure to be arbitrary or discriminatory.</w:t>
      </w:r>
      <w:r>
        <w:rPr>
          <w:color w:val="000000"/>
          <w:lang w:eastAsia="zh-CN"/>
        </w:rPr>
        <w:t xml:space="preserve"> </w:t>
      </w:r>
      <w:r w:rsidRPr="005477FC">
        <w:rPr>
          <w:color w:val="000000"/>
          <w:lang w:eastAsia="zh-CN"/>
        </w:rPr>
        <w:t>The tribunal ordered Eli Lilly to bear all costs of arbitration and 75% of Canada’s legal fees.</w:t>
      </w:r>
    </w:p>
    <w:p w14:paraId="1F754EF4" w14:textId="77777777" w:rsidR="003449E5" w:rsidRPr="00700C0F" w:rsidRDefault="003449E5" w:rsidP="003449E5">
      <w:pPr>
        <w:rPr>
          <w:b/>
          <w:bCs/>
          <w:highlight w:val="green"/>
        </w:rPr>
      </w:pPr>
    </w:p>
    <w:p w14:paraId="7262A727" w14:textId="77777777" w:rsidR="003449E5" w:rsidRPr="00940197" w:rsidRDefault="003449E5" w:rsidP="003449E5">
      <w:pPr>
        <w:pStyle w:val="Heading5"/>
      </w:pPr>
      <w:proofErr w:type="spellStart"/>
      <w:r w:rsidRPr="00940197">
        <w:t>Apotex</w:t>
      </w:r>
      <w:proofErr w:type="spellEnd"/>
      <w:r w:rsidRPr="00940197">
        <w:t xml:space="preserve"> Inc. v. USA (</w:t>
      </w:r>
      <w:proofErr w:type="spellStart"/>
      <w:r w:rsidRPr="00940197">
        <w:t>I&amp;II</w:t>
      </w:r>
      <w:proofErr w:type="spellEnd"/>
      <w:r w:rsidRPr="00940197">
        <w:t>)</w:t>
      </w:r>
      <w:r>
        <w:t xml:space="preserve">, NAFTA, </w:t>
      </w:r>
      <w:proofErr w:type="spellStart"/>
      <w:r>
        <w:t>UNCITRAL</w:t>
      </w:r>
      <w:proofErr w:type="spellEnd"/>
      <w:r w:rsidRPr="00940197">
        <w:t>: claims concerning regulation of generic drugs manufacturing and sale</w:t>
      </w:r>
    </w:p>
    <w:p w14:paraId="4DB36C11" w14:textId="77777777" w:rsidR="003449E5" w:rsidRPr="00EF62AF" w:rsidRDefault="003449E5" w:rsidP="003449E5">
      <w:pPr>
        <w:rPr>
          <w:rFonts w:cs="Times New Roman"/>
          <w:b/>
          <w:bCs/>
          <w:i/>
          <w:iCs/>
        </w:rPr>
      </w:pPr>
      <w:r w:rsidRPr="00EF62AF">
        <w:rPr>
          <w:rFonts w:cs="Times New Roman"/>
          <w:b/>
          <w:bCs/>
          <w:i/>
          <w:iCs/>
        </w:rPr>
        <w:t>The measure</w:t>
      </w:r>
    </w:p>
    <w:p w14:paraId="6E3EFA84" w14:textId="77777777" w:rsidR="003449E5" w:rsidRPr="00EE5198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proofErr w:type="spellStart"/>
      <w:r w:rsidRPr="00EE5198">
        <w:rPr>
          <w:color w:val="000000"/>
          <w:lang w:eastAsia="zh-CN"/>
        </w:rPr>
        <w:t>Apotex</w:t>
      </w:r>
      <w:proofErr w:type="spellEnd"/>
      <w:r w:rsidRPr="00EE5198">
        <w:rPr>
          <w:color w:val="000000"/>
          <w:lang w:eastAsia="zh-CN"/>
        </w:rPr>
        <w:t xml:space="preserve"> Inc. (</w:t>
      </w:r>
      <w:proofErr w:type="spellStart"/>
      <w:r w:rsidRPr="00EE5198">
        <w:rPr>
          <w:color w:val="000000"/>
          <w:lang w:eastAsia="zh-CN"/>
        </w:rPr>
        <w:t>Apotex</w:t>
      </w:r>
      <w:proofErr w:type="spellEnd"/>
      <w:r w:rsidRPr="00EE5198">
        <w:rPr>
          <w:color w:val="000000"/>
          <w:lang w:eastAsia="zh-CN"/>
        </w:rPr>
        <w:t xml:space="preserve">), a Canadian generic drug manufacturer, initiated NAFTA Chapter 11 arbitration under the </w:t>
      </w:r>
      <w:proofErr w:type="spellStart"/>
      <w:r w:rsidRPr="00EE5198">
        <w:rPr>
          <w:color w:val="000000"/>
          <w:lang w:eastAsia="zh-CN"/>
        </w:rPr>
        <w:t>UNCITRAL</w:t>
      </w:r>
      <w:proofErr w:type="spellEnd"/>
      <w:r w:rsidRPr="00EE5198">
        <w:rPr>
          <w:color w:val="000000"/>
          <w:lang w:eastAsia="zh-CN"/>
        </w:rPr>
        <w:t xml:space="preserve"> Arbitration Rules on 10 December 2008 and 4 June 2009.  </w:t>
      </w:r>
    </w:p>
    <w:p w14:paraId="011D92BE" w14:textId="77777777" w:rsidR="003449E5" w:rsidRPr="00EE5198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EE5198">
        <w:rPr>
          <w:color w:val="000000"/>
          <w:lang w:eastAsia="zh-CN"/>
        </w:rPr>
        <w:t xml:space="preserve">After USA filed its preliminary objections, the parties agreed that until resolution of the preliminary objections, the two claims would be heard concurrently, but not consolidated. </w:t>
      </w:r>
    </w:p>
    <w:p w14:paraId="66932F01" w14:textId="77777777" w:rsidR="003449E5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>
        <w:rPr>
          <w:color w:val="000000"/>
          <w:lang w:eastAsia="zh-CN"/>
        </w:rPr>
        <w:t>On 14 June 2014, the tribunal issued its award on preliminary matters.</w:t>
      </w:r>
      <w:r>
        <w:rPr>
          <w:rStyle w:val="FootnoteReference"/>
          <w:color w:val="000000"/>
          <w:lang w:eastAsia="zh-CN"/>
        </w:rPr>
        <w:footnoteReference w:id="3"/>
      </w:r>
    </w:p>
    <w:p w14:paraId="377F2B1B" w14:textId="77777777" w:rsidR="003449E5" w:rsidRPr="006404E0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6404E0">
        <w:rPr>
          <w:color w:val="000000"/>
          <w:lang w:eastAsia="zh-CN"/>
        </w:rPr>
        <w:t>In its award on the preliminary matters, the tribunal</w:t>
      </w:r>
      <w:r>
        <w:rPr>
          <w:color w:val="000000"/>
          <w:lang w:eastAsia="zh-CN"/>
        </w:rPr>
        <w:t xml:space="preserve"> agreed with Respondent that the purpose of NAFTA Chapter 11 was not to </w:t>
      </w:r>
      <w:proofErr w:type="gramStart"/>
      <w:r>
        <w:rPr>
          <w:color w:val="000000"/>
          <w:lang w:eastAsia="zh-CN"/>
        </w:rPr>
        <w:t>‘</w:t>
      </w:r>
      <w:r w:rsidRPr="006404E0">
        <w:rPr>
          <w:color w:val="000000"/>
          <w:lang w:eastAsia="zh-CN"/>
        </w:rPr>
        <w:t>support[</w:t>
      </w:r>
      <w:proofErr w:type="gramEnd"/>
      <w:r w:rsidRPr="006404E0">
        <w:rPr>
          <w:color w:val="000000"/>
          <w:lang w:eastAsia="zh-CN"/>
        </w:rPr>
        <w:t xml:space="preserve">] cross-border sales’. It likened </w:t>
      </w:r>
      <w:proofErr w:type="spellStart"/>
      <w:r w:rsidRPr="006404E0">
        <w:rPr>
          <w:color w:val="000000"/>
          <w:lang w:eastAsia="zh-CN"/>
        </w:rPr>
        <w:t>Apotex’s</w:t>
      </w:r>
      <w:proofErr w:type="spellEnd"/>
      <w:r w:rsidRPr="006404E0">
        <w:rPr>
          <w:color w:val="000000"/>
          <w:lang w:eastAsia="zh-CN"/>
        </w:rPr>
        <w:t xml:space="preserve"> </w:t>
      </w:r>
      <w:proofErr w:type="spellStart"/>
      <w:r w:rsidRPr="006404E0">
        <w:rPr>
          <w:color w:val="000000"/>
          <w:lang w:eastAsia="zh-CN"/>
        </w:rPr>
        <w:t>ANDA</w:t>
      </w:r>
      <w:proofErr w:type="spellEnd"/>
      <w:r>
        <w:rPr>
          <w:color w:val="000000"/>
          <w:lang w:eastAsia="zh-CN"/>
        </w:rPr>
        <w:t xml:space="preserve"> and the associated expenses to</w:t>
      </w:r>
      <w:r w:rsidRPr="006404E0">
        <w:rPr>
          <w:color w:val="000000"/>
          <w:lang w:eastAsia="zh-CN"/>
        </w:rPr>
        <w:t xml:space="preserve"> </w:t>
      </w:r>
      <w:proofErr w:type="gramStart"/>
      <w:r w:rsidRPr="006404E0">
        <w:rPr>
          <w:color w:val="000000"/>
          <w:lang w:eastAsia="zh-CN"/>
        </w:rPr>
        <w:t xml:space="preserve">an </w:t>
      </w:r>
      <w:r>
        <w:rPr>
          <w:color w:val="000000"/>
          <w:lang w:eastAsia="zh-CN"/>
        </w:rPr>
        <w:t>‘</w:t>
      </w:r>
      <w:r w:rsidRPr="006404E0">
        <w:rPr>
          <w:color w:val="000000"/>
          <w:lang w:eastAsia="zh-CN"/>
        </w:rPr>
        <w:t>export</w:t>
      </w:r>
      <w:proofErr w:type="gramEnd"/>
      <w:r w:rsidRPr="006404E0">
        <w:rPr>
          <w:color w:val="000000"/>
          <w:lang w:eastAsia="zh-CN"/>
        </w:rPr>
        <w:t xml:space="preserve"> or import </w:t>
      </w:r>
      <w:proofErr w:type="spellStart"/>
      <w:r w:rsidRPr="006404E0">
        <w:rPr>
          <w:color w:val="000000"/>
          <w:lang w:eastAsia="zh-CN"/>
        </w:rPr>
        <w:t>licence</w:t>
      </w:r>
      <w:proofErr w:type="spellEnd"/>
      <w:r w:rsidRPr="006404E0">
        <w:rPr>
          <w:color w:val="000000"/>
          <w:lang w:eastAsia="zh-CN"/>
        </w:rPr>
        <w:t>’</w:t>
      </w:r>
      <w:r>
        <w:rPr>
          <w:color w:val="000000"/>
          <w:lang w:eastAsia="zh-CN"/>
        </w:rPr>
        <w:t xml:space="preserve">, noting </w:t>
      </w:r>
      <w:proofErr w:type="spellStart"/>
      <w:r>
        <w:rPr>
          <w:color w:val="000000"/>
          <w:lang w:eastAsia="zh-CN"/>
        </w:rPr>
        <w:t>ANDA’s</w:t>
      </w:r>
      <w:proofErr w:type="spellEnd"/>
      <w:r>
        <w:rPr>
          <w:color w:val="000000"/>
          <w:lang w:eastAsia="zh-CN"/>
        </w:rPr>
        <w:t xml:space="preserve"> tentative and preliminary nature,</w:t>
      </w:r>
      <w:r w:rsidRPr="006404E0">
        <w:rPr>
          <w:color w:val="000000"/>
          <w:lang w:eastAsia="zh-CN"/>
        </w:rPr>
        <w:t xml:space="preserve"> and concluded that </w:t>
      </w:r>
      <w:proofErr w:type="spellStart"/>
      <w:r w:rsidRPr="006404E0">
        <w:rPr>
          <w:color w:val="000000"/>
          <w:lang w:eastAsia="zh-CN"/>
        </w:rPr>
        <w:t>Apotex</w:t>
      </w:r>
      <w:proofErr w:type="spellEnd"/>
      <w:r w:rsidRPr="006404E0">
        <w:rPr>
          <w:color w:val="000000"/>
          <w:lang w:eastAsia="zh-CN"/>
        </w:rPr>
        <w:t xml:space="preserve"> did not have an ‘investment’ in the United States, and that therefore both the sertraline and pravastatin claims were </w:t>
      </w:r>
      <w:r>
        <w:rPr>
          <w:color w:val="000000"/>
          <w:lang w:eastAsia="zh-CN"/>
        </w:rPr>
        <w:t>dismissed</w:t>
      </w:r>
      <w:r w:rsidRPr="006404E0">
        <w:rPr>
          <w:color w:val="000000"/>
          <w:lang w:eastAsia="zh-CN"/>
        </w:rPr>
        <w:t xml:space="preserve">. </w:t>
      </w:r>
    </w:p>
    <w:p w14:paraId="24A585C6" w14:textId="77777777" w:rsidR="003449E5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 w:rsidRPr="00EE5198">
        <w:rPr>
          <w:color w:val="000000"/>
          <w:lang w:eastAsia="zh-CN"/>
        </w:rPr>
        <w:lastRenderedPageBreak/>
        <w:t xml:space="preserve">Moreover, the tribunal upheld two </w:t>
      </w:r>
      <w:r>
        <w:rPr>
          <w:color w:val="000000"/>
          <w:lang w:eastAsia="zh-CN"/>
        </w:rPr>
        <w:t xml:space="preserve">U.S. </w:t>
      </w:r>
      <w:r w:rsidRPr="00EE5198">
        <w:rPr>
          <w:color w:val="000000"/>
          <w:lang w:eastAsia="zh-CN"/>
        </w:rPr>
        <w:t>jurisdictional objections to the pravastatin claim</w:t>
      </w:r>
      <w:r>
        <w:rPr>
          <w:color w:val="000000"/>
          <w:lang w:eastAsia="zh-CN"/>
        </w:rPr>
        <w:t>, holding that:</w:t>
      </w:r>
    </w:p>
    <w:p w14:paraId="7D09C409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 w:rsidRPr="0082341F">
        <w:rPr>
          <w:color w:val="000000"/>
          <w:lang w:eastAsia="zh-CN"/>
        </w:rPr>
        <w:t>the</w:t>
      </w:r>
      <w:proofErr w:type="gramEnd"/>
      <w:r w:rsidRPr="0082341F">
        <w:rPr>
          <w:color w:val="000000"/>
          <w:lang w:eastAsia="zh-CN"/>
        </w:rPr>
        <w:t xml:space="preserve"> claim concerning the actions of the U.S. courts required exhaustion of domestic remedies or a showing that judicial remedies were futile, either of which </w:t>
      </w:r>
      <w:proofErr w:type="spellStart"/>
      <w:r w:rsidRPr="0082341F">
        <w:rPr>
          <w:color w:val="000000"/>
          <w:lang w:eastAsia="zh-CN"/>
        </w:rPr>
        <w:t>Apotex</w:t>
      </w:r>
      <w:proofErr w:type="spellEnd"/>
      <w:r w:rsidRPr="0082341F">
        <w:rPr>
          <w:color w:val="000000"/>
          <w:lang w:eastAsia="zh-CN"/>
        </w:rPr>
        <w:t xml:space="preserve"> failed to demonstrate; and </w:t>
      </w:r>
    </w:p>
    <w:p w14:paraId="7AB27591" w14:textId="77777777" w:rsidR="003449E5" w:rsidRPr="0082341F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 w:rsidRPr="0082341F">
        <w:rPr>
          <w:color w:val="000000"/>
          <w:lang w:eastAsia="zh-CN"/>
        </w:rPr>
        <w:t>the</w:t>
      </w:r>
      <w:proofErr w:type="gramEnd"/>
      <w:r w:rsidRPr="0082341F">
        <w:rPr>
          <w:color w:val="000000"/>
          <w:lang w:eastAsia="zh-CN"/>
        </w:rPr>
        <w:t xml:space="preserve"> claim concerning the administrative actions of the FDA was time-barred under NAFTA procedural preconditions. </w:t>
      </w:r>
    </w:p>
    <w:p w14:paraId="7F0102D4" w14:textId="77777777" w:rsidR="003449E5" w:rsidRPr="00940197" w:rsidRDefault="003449E5" w:rsidP="003449E5">
      <w:pPr>
        <w:pStyle w:val="Heading5"/>
        <w:rPr>
          <w:highlight w:val="green"/>
        </w:rPr>
      </w:pPr>
      <w:proofErr w:type="spellStart"/>
      <w:r w:rsidRPr="00940197">
        <w:t>Apotex</w:t>
      </w:r>
      <w:proofErr w:type="spellEnd"/>
      <w:r w:rsidRPr="00940197">
        <w:t xml:space="preserve"> Holdings Inc., </w:t>
      </w:r>
      <w:proofErr w:type="spellStart"/>
      <w:r w:rsidRPr="00940197">
        <w:t>Apotex</w:t>
      </w:r>
      <w:proofErr w:type="spellEnd"/>
      <w:r w:rsidRPr="00940197">
        <w:t xml:space="preserve"> Inc. v. United States (III)</w:t>
      </w:r>
      <w:r>
        <w:t xml:space="preserve">, NAFTA, </w:t>
      </w:r>
      <w:proofErr w:type="spellStart"/>
      <w:r>
        <w:t>ICSID</w:t>
      </w:r>
      <w:proofErr w:type="spellEnd"/>
      <w:r>
        <w:t xml:space="preserve"> Additional Facility</w:t>
      </w:r>
      <w:r w:rsidRPr="00940197">
        <w:t>: claims concerning regulation of generic drugs import</w:t>
      </w:r>
    </w:p>
    <w:p w14:paraId="6838A7D6" w14:textId="77777777" w:rsidR="003449E5" w:rsidRPr="00595530" w:rsidRDefault="003449E5" w:rsidP="003449E5">
      <w:pPr>
        <w:pStyle w:val="ListParagraph"/>
        <w:numPr>
          <w:ilvl w:val="0"/>
          <w:numId w:val="1"/>
        </w:numPr>
        <w:rPr>
          <w:rFonts w:ascii="Times Roman" w:hAnsi="Times Roman" w:cs="Times Roman"/>
          <w:color w:val="000000"/>
          <w:lang w:eastAsia="zh-CN"/>
        </w:rPr>
      </w:pPr>
      <w:r>
        <w:rPr>
          <w:color w:val="000000"/>
          <w:lang w:eastAsia="zh-CN"/>
        </w:rPr>
        <w:t xml:space="preserve">On </w:t>
      </w:r>
      <w:r w:rsidRPr="00813009">
        <w:rPr>
          <w:color w:val="000000"/>
          <w:lang w:eastAsia="zh-CN"/>
        </w:rPr>
        <w:t>29 February 2012</w:t>
      </w:r>
      <w:r>
        <w:rPr>
          <w:color w:val="000000"/>
          <w:lang w:eastAsia="zh-CN"/>
        </w:rPr>
        <w:t>,</w:t>
      </w:r>
      <w:r w:rsidRPr="00813009">
        <w:rPr>
          <w:color w:val="000000"/>
          <w:lang w:eastAsia="zh-CN"/>
        </w:rPr>
        <w:t xml:space="preserve"> claimants submitted their request for arbitration against USA under NAFTA Chapter 1</w:t>
      </w:r>
      <w:r>
        <w:rPr>
          <w:color w:val="000000"/>
          <w:lang w:eastAsia="zh-CN"/>
        </w:rPr>
        <w:t>1 and Jamaica-USA BIT</w:t>
      </w:r>
      <w:r w:rsidRPr="001566A3">
        <w:rPr>
          <w:color w:val="000000"/>
          <w:lang w:eastAsia="zh-CN"/>
        </w:rPr>
        <w:t>.</w:t>
      </w:r>
    </w:p>
    <w:p w14:paraId="608BA99D" w14:textId="77777777" w:rsidR="003449E5" w:rsidRDefault="003449E5" w:rsidP="003449E5">
      <w:pPr>
        <w:pStyle w:val="ListParagraph"/>
        <w:numPr>
          <w:ilvl w:val="0"/>
          <w:numId w:val="1"/>
        </w:numPr>
        <w:rPr>
          <w:color w:val="000000"/>
          <w:lang w:eastAsia="zh-CN"/>
        </w:rPr>
      </w:pPr>
      <w:r>
        <w:rPr>
          <w:color w:val="000000"/>
          <w:lang w:eastAsia="zh-CN"/>
        </w:rPr>
        <w:t>On 25 August 2014, the tr</w:t>
      </w:r>
      <w:r w:rsidRPr="00595530">
        <w:rPr>
          <w:color w:val="000000"/>
          <w:lang w:eastAsia="zh-CN"/>
        </w:rPr>
        <w:t>ibunal</w:t>
      </w:r>
      <w:r>
        <w:rPr>
          <w:color w:val="000000"/>
          <w:lang w:eastAsia="zh-CN"/>
        </w:rPr>
        <w:t xml:space="preserve"> issued its final award,</w:t>
      </w:r>
      <w:r>
        <w:rPr>
          <w:rStyle w:val="FootnoteReference"/>
          <w:color w:val="000000"/>
          <w:lang w:eastAsia="zh-CN"/>
        </w:rPr>
        <w:footnoteReference w:id="4"/>
      </w:r>
      <w:r>
        <w:rPr>
          <w:color w:val="000000"/>
          <w:lang w:eastAsia="zh-CN"/>
        </w:rPr>
        <w:t xml:space="preserve"> holding that:</w:t>
      </w:r>
    </w:p>
    <w:p w14:paraId="68F6C2F3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r w:rsidRPr="00595530">
        <w:rPr>
          <w:color w:val="000000"/>
          <w:lang w:eastAsia="zh-CN"/>
        </w:rPr>
        <w:t xml:space="preserve"> </w:t>
      </w:r>
      <w:proofErr w:type="gramStart"/>
      <w:r w:rsidRPr="00595530">
        <w:rPr>
          <w:color w:val="000000"/>
          <w:lang w:eastAsia="zh-CN"/>
        </w:rPr>
        <w:t>patent</w:t>
      </w:r>
      <w:proofErr w:type="gramEnd"/>
      <w:r w:rsidRPr="00595530">
        <w:rPr>
          <w:color w:val="000000"/>
          <w:lang w:eastAsia="zh-CN"/>
        </w:rPr>
        <w:t xml:space="preserve"> applications were not investments under NAFTA Chapter 11</w:t>
      </w:r>
      <w:r>
        <w:rPr>
          <w:color w:val="000000"/>
          <w:lang w:eastAsia="zh-CN"/>
        </w:rPr>
        <w:t xml:space="preserve">, following the </w:t>
      </w:r>
      <w:proofErr w:type="spellStart"/>
      <w:r>
        <w:rPr>
          <w:color w:val="000000"/>
          <w:lang w:eastAsia="zh-CN"/>
        </w:rPr>
        <w:t>Apotex</w:t>
      </w:r>
      <w:proofErr w:type="spellEnd"/>
      <w:r>
        <w:rPr>
          <w:color w:val="000000"/>
          <w:lang w:eastAsia="zh-CN"/>
        </w:rPr>
        <w:t xml:space="preserve"> I and II award. </w:t>
      </w:r>
    </w:p>
    <w:p w14:paraId="5DA1D917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>
        <w:rPr>
          <w:color w:val="000000"/>
          <w:lang w:eastAsia="zh-CN"/>
        </w:rPr>
        <w:t>only</w:t>
      </w:r>
      <w:proofErr w:type="gramEnd"/>
      <w:r>
        <w:rPr>
          <w:color w:val="000000"/>
          <w:lang w:eastAsia="zh-CN"/>
        </w:rPr>
        <w:t xml:space="preserve"> investment in </w:t>
      </w:r>
      <w:proofErr w:type="spellStart"/>
      <w:r>
        <w:rPr>
          <w:color w:val="000000"/>
          <w:lang w:eastAsia="zh-CN"/>
        </w:rPr>
        <w:t>Apotex</w:t>
      </w:r>
      <w:proofErr w:type="spellEnd"/>
      <w:r>
        <w:rPr>
          <w:color w:val="000000"/>
          <w:lang w:eastAsia="zh-CN"/>
        </w:rPr>
        <w:t xml:space="preserve"> Corp., a U.S.-based pharmaceutical company, was a qualified investment under NAFTA Chapter 11.</w:t>
      </w:r>
    </w:p>
    <w:p w14:paraId="25122804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 w:rsidRPr="00964B2C">
        <w:rPr>
          <w:color w:val="000000"/>
          <w:lang w:eastAsia="zh-CN"/>
        </w:rPr>
        <w:t>the</w:t>
      </w:r>
      <w:proofErr w:type="gramEnd"/>
      <w:r w:rsidRPr="00964B2C">
        <w:rPr>
          <w:color w:val="000000"/>
          <w:lang w:eastAsia="zh-CN"/>
        </w:rPr>
        <w:t xml:space="preserve"> U.S. subjected national and foreign pharmaceutical companies to different </w:t>
      </w:r>
      <w:r w:rsidRPr="00964B2C">
        <w:rPr>
          <w:i/>
          <w:color w:val="000000"/>
          <w:lang w:eastAsia="zh-CN"/>
        </w:rPr>
        <w:t>bona fide</w:t>
      </w:r>
      <w:r>
        <w:rPr>
          <w:color w:val="000000"/>
          <w:lang w:eastAsia="zh-CN"/>
        </w:rPr>
        <w:t xml:space="preserve"> regulatory regimes, t</w:t>
      </w:r>
      <w:r w:rsidRPr="00964B2C">
        <w:rPr>
          <w:color w:val="000000"/>
          <w:lang w:eastAsia="zh-CN"/>
        </w:rPr>
        <w:t xml:space="preserve">he national comparators could never have been subject to any import alert—the only measure </w:t>
      </w:r>
      <w:proofErr w:type="spellStart"/>
      <w:r w:rsidRPr="00964B2C">
        <w:rPr>
          <w:color w:val="000000"/>
          <w:lang w:eastAsia="zh-CN"/>
        </w:rPr>
        <w:t>Apotex</w:t>
      </w:r>
      <w:proofErr w:type="spellEnd"/>
      <w:r w:rsidRPr="00964B2C">
        <w:rPr>
          <w:color w:val="000000"/>
          <w:lang w:eastAsia="zh-CN"/>
        </w:rPr>
        <w:t xml:space="preserve"> complained a</w:t>
      </w:r>
      <w:r>
        <w:rPr>
          <w:color w:val="000000"/>
          <w:lang w:eastAsia="zh-CN"/>
        </w:rPr>
        <w:t>bout—therefore</w:t>
      </w:r>
      <w:r w:rsidRPr="00964B2C">
        <w:rPr>
          <w:color w:val="000000"/>
          <w:lang w:eastAsia="zh-CN"/>
        </w:rPr>
        <w:t>, national companies could not be considered to be in like circumstance. The tribunal thus dismissed the national treatment claim.</w:t>
      </w:r>
    </w:p>
    <w:p w14:paraId="4495E111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 w:rsidRPr="00964B2C">
        <w:rPr>
          <w:color w:val="000000"/>
          <w:lang w:eastAsia="zh-CN"/>
        </w:rPr>
        <w:t>the</w:t>
      </w:r>
      <w:proofErr w:type="gramEnd"/>
      <w:r w:rsidRPr="00964B2C">
        <w:rPr>
          <w:color w:val="000000"/>
          <w:lang w:eastAsia="zh-CN"/>
        </w:rPr>
        <w:t xml:space="preserve"> FDA treated the foreign comparators differently ‘influenced by the FDA’s genuine concerns over shortages of essential drugs’. The most-</w:t>
      </w:r>
      <w:proofErr w:type="spellStart"/>
      <w:r w:rsidRPr="00964B2C">
        <w:rPr>
          <w:color w:val="000000"/>
          <w:lang w:eastAsia="zh-CN"/>
        </w:rPr>
        <w:t>favoured</w:t>
      </w:r>
      <w:proofErr w:type="spellEnd"/>
      <w:r w:rsidRPr="00964B2C">
        <w:rPr>
          <w:color w:val="000000"/>
          <w:lang w:eastAsia="zh-CN"/>
        </w:rPr>
        <w:t>-nation treatment claim was therefore also dismissed.</w:t>
      </w:r>
    </w:p>
    <w:p w14:paraId="44E82B2F" w14:textId="77777777" w:rsidR="003449E5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gramStart"/>
      <w:r w:rsidRPr="00964B2C">
        <w:rPr>
          <w:color w:val="000000"/>
          <w:lang w:eastAsia="zh-CN"/>
        </w:rPr>
        <w:t>the</w:t>
      </w:r>
      <w:proofErr w:type="gramEnd"/>
      <w:r w:rsidRPr="00964B2C">
        <w:rPr>
          <w:color w:val="000000"/>
          <w:lang w:eastAsia="zh-CN"/>
        </w:rPr>
        <w:t xml:space="preserve"> FDA administered procedure was not unreasonable and provided ways to challenge the decision of the FDA. </w:t>
      </w:r>
    </w:p>
    <w:p w14:paraId="19CD7408" w14:textId="77777777" w:rsidR="003449E5" w:rsidRPr="00964B2C" w:rsidRDefault="003449E5" w:rsidP="003449E5">
      <w:pPr>
        <w:pStyle w:val="ListParagraph"/>
        <w:numPr>
          <w:ilvl w:val="1"/>
          <w:numId w:val="1"/>
        </w:numPr>
        <w:rPr>
          <w:color w:val="000000"/>
          <w:lang w:eastAsia="zh-CN"/>
        </w:rPr>
      </w:pPr>
      <w:proofErr w:type="spellStart"/>
      <w:r w:rsidRPr="00964B2C">
        <w:rPr>
          <w:color w:val="000000"/>
          <w:lang w:eastAsia="zh-CN"/>
        </w:rPr>
        <w:t>Apotex</w:t>
      </w:r>
      <w:proofErr w:type="spellEnd"/>
      <w:r w:rsidRPr="00964B2C">
        <w:rPr>
          <w:color w:val="000000"/>
          <w:lang w:eastAsia="zh-CN"/>
        </w:rPr>
        <w:t xml:space="preserve"> failed to establish ‘specific procedural rights required by customary international law in the context of the FDA’s regulatory decision’ and dismissed </w:t>
      </w:r>
      <w:proofErr w:type="spellStart"/>
      <w:r w:rsidRPr="00964B2C">
        <w:rPr>
          <w:color w:val="000000"/>
          <w:lang w:eastAsia="zh-CN"/>
        </w:rPr>
        <w:t>Apotex’s</w:t>
      </w:r>
      <w:proofErr w:type="spellEnd"/>
      <w:r w:rsidRPr="00964B2C">
        <w:rPr>
          <w:color w:val="000000"/>
          <w:lang w:eastAsia="zh-CN"/>
        </w:rPr>
        <w:t xml:space="preserve"> claim for violation of the minimum standard of treatment.</w:t>
      </w:r>
    </w:p>
    <w:p w14:paraId="66CECEF3" w14:textId="77777777" w:rsidR="00626074" w:rsidRDefault="00626074"/>
    <w:sectPr w:rsidR="00626074" w:rsidSect="00626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14F89" w14:textId="77777777" w:rsidR="009C231C" w:rsidRDefault="009C231C" w:rsidP="009C231C">
      <w:r>
        <w:separator/>
      </w:r>
    </w:p>
  </w:endnote>
  <w:endnote w:type="continuationSeparator" w:id="0">
    <w:p w14:paraId="34E0E86F" w14:textId="77777777" w:rsidR="009C231C" w:rsidRDefault="009C231C" w:rsidP="009C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63DB6" w14:textId="77777777" w:rsidR="009C231C" w:rsidRDefault="009C231C" w:rsidP="009C231C">
      <w:r>
        <w:separator/>
      </w:r>
    </w:p>
  </w:footnote>
  <w:footnote w:type="continuationSeparator" w:id="0">
    <w:p w14:paraId="70CFAE7E" w14:textId="77777777" w:rsidR="009C231C" w:rsidRDefault="009C231C" w:rsidP="009C231C">
      <w:r>
        <w:continuationSeparator/>
      </w:r>
    </w:p>
  </w:footnote>
  <w:footnote w:id="1">
    <w:p w14:paraId="0819020F" w14:textId="3EED1334" w:rsidR="009C231C" w:rsidRPr="003449E5" w:rsidRDefault="009C231C" w:rsidP="009C231C">
      <w:pPr>
        <w:pStyle w:val="FootnoteText"/>
        <w:rPr>
          <w:rFonts w:cs="Times New Roman"/>
        </w:rPr>
      </w:pPr>
      <w:r w:rsidRPr="003449E5">
        <w:rPr>
          <w:rStyle w:val="FootnoteReference"/>
          <w:rFonts w:cs="Times New Roman"/>
        </w:rPr>
        <w:footnoteRef/>
      </w:r>
      <w:r w:rsidR="003449E5">
        <w:rPr>
          <w:rFonts w:cs="Times New Roman"/>
        </w:rPr>
        <w:t xml:space="preserve"> [</w:t>
      </w:r>
      <w:r w:rsidR="003449E5" w:rsidRPr="003449E5">
        <w:rPr>
          <w:rFonts w:cs="Times New Roman"/>
          <w:i/>
        </w:rPr>
        <w:t>Grand River</w:t>
      </w:r>
      <w:r w:rsidR="003449E5">
        <w:rPr>
          <w:rFonts w:cs="Times New Roman"/>
        </w:rPr>
        <w:t>, Award</w:t>
      </w:r>
      <w:r w:rsidRPr="003449E5">
        <w:rPr>
          <w:rFonts w:cs="Times New Roman"/>
        </w:rPr>
        <w:t>]</w:t>
      </w:r>
    </w:p>
  </w:footnote>
  <w:footnote w:id="2">
    <w:p w14:paraId="5CEB3442" w14:textId="13DC53A6" w:rsidR="003449E5" w:rsidRPr="003449E5" w:rsidRDefault="003449E5" w:rsidP="003449E5">
      <w:pPr>
        <w:pStyle w:val="FootnoteText"/>
        <w:rPr>
          <w:rFonts w:cs="Times New Roman"/>
        </w:rPr>
      </w:pPr>
      <w:r w:rsidRPr="003449E5">
        <w:rPr>
          <w:rStyle w:val="FootnoteReference"/>
          <w:rFonts w:cs="Times New Roman"/>
        </w:rPr>
        <w:footnoteRef/>
      </w:r>
      <w:r w:rsidRPr="003449E5">
        <w:rPr>
          <w:rFonts w:cs="Times New Roman"/>
        </w:rPr>
        <w:t xml:space="preserve"> </w:t>
      </w:r>
      <w:r w:rsidRPr="003449E5">
        <w:rPr>
          <w:rFonts w:cs="Times New Roman"/>
        </w:rPr>
        <w:t>[</w:t>
      </w:r>
      <w:r w:rsidRPr="003449E5">
        <w:rPr>
          <w:rFonts w:cs="Times New Roman"/>
          <w:i/>
        </w:rPr>
        <w:t>Eli Lilly</w:t>
      </w:r>
      <w:r w:rsidRPr="003449E5">
        <w:rPr>
          <w:rFonts w:cs="Times New Roman"/>
          <w:i/>
        </w:rPr>
        <w:t>,</w:t>
      </w:r>
      <w:r w:rsidRPr="003449E5">
        <w:rPr>
          <w:rFonts w:cs="Times New Roman"/>
          <w:i/>
        </w:rPr>
        <w:t xml:space="preserve"> </w:t>
      </w:r>
      <w:r w:rsidRPr="003449E5">
        <w:rPr>
          <w:rFonts w:cs="Times New Roman"/>
        </w:rPr>
        <w:t>Final Award</w:t>
      </w:r>
      <w:r w:rsidRPr="003449E5">
        <w:rPr>
          <w:rFonts w:cs="Times New Roman"/>
        </w:rPr>
        <w:t>]</w:t>
      </w:r>
      <w:r w:rsidRPr="003449E5">
        <w:rPr>
          <w:rFonts w:cs="Times New Roman"/>
        </w:rPr>
        <w:t xml:space="preserve"> </w:t>
      </w:r>
    </w:p>
  </w:footnote>
  <w:footnote w:id="3">
    <w:p w14:paraId="4640AC75" w14:textId="4939542F" w:rsidR="003449E5" w:rsidRPr="003449E5" w:rsidRDefault="003449E5" w:rsidP="003449E5">
      <w:pPr>
        <w:pStyle w:val="FootnoteText"/>
        <w:rPr>
          <w:rFonts w:eastAsia="Times New Roman" w:cs="Times New Roman"/>
          <w:bCs/>
        </w:rPr>
      </w:pPr>
      <w:r w:rsidRPr="003449E5">
        <w:rPr>
          <w:rStyle w:val="FootnoteReference"/>
          <w:rFonts w:cs="Times New Roman"/>
        </w:rPr>
        <w:footnoteRef/>
      </w:r>
      <w:r w:rsidRPr="003449E5">
        <w:rPr>
          <w:rFonts w:cs="Times New Roman"/>
        </w:rPr>
        <w:t xml:space="preserve"> </w:t>
      </w:r>
      <w:r w:rsidRPr="003449E5">
        <w:rPr>
          <w:rFonts w:cs="Times New Roman"/>
        </w:rPr>
        <w:t>[</w:t>
      </w:r>
      <w:proofErr w:type="spellStart"/>
      <w:r w:rsidRPr="003449E5">
        <w:rPr>
          <w:rFonts w:eastAsia="Times New Roman" w:cs="Times New Roman"/>
          <w:bCs/>
          <w:i/>
        </w:rPr>
        <w:t>Ap</w:t>
      </w:r>
      <w:bookmarkStart w:id="0" w:name="_GoBack"/>
      <w:bookmarkEnd w:id="0"/>
      <w:r w:rsidRPr="003449E5">
        <w:rPr>
          <w:rFonts w:eastAsia="Times New Roman" w:cs="Times New Roman"/>
          <w:bCs/>
          <w:i/>
        </w:rPr>
        <w:t>otex</w:t>
      </w:r>
      <w:proofErr w:type="spellEnd"/>
      <w:r w:rsidRPr="003449E5">
        <w:rPr>
          <w:rFonts w:eastAsia="Times New Roman" w:cs="Times New Roman"/>
          <w:bCs/>
        </w:rPr>
        <w:t>, Award on Jurisdiction and Admissibility, 14 June 2014</w:t>
      </w:r>
      <w:r w:rsidRPr="003449E5">
        <w:rPr>
          <w:rFonts w:eastAsia="Times New Roman" w:cs="Times New Roman"/>
          <w:bCs/>
        </w:rPr>
        <w:t xml:space="preserve">] </w:t>
      </w:r>
    </w:p>
  </w:footnote>
  <w:footnote w:id="4">
    <w:p w14:paraId="3A24CE3C" w14:textId="43672950" w:rsidR="003449E5" w:rsidRPr="003449E5" w:rsidRDefault="003449E5" w:rsidP="003449E5">
      <w:pPr>
        <w:pStyle w:val="FootnoteText"/>
        <w:rPr>
          <w:rFonts w:eastAsia="Times New Roman" w:cs="Times New Roman"/>
          <w:color w:val="2B81CF"/>
        </w:rPr>
      </w:pPr>
      <w:r w:rsidRPr="003449E5">
        <w:rPr>
          <w:rStyle w:val="FootnoteReference"/>
          <w:rFonts w:cs="Times New Roman"/>
        </w:rPr>
        <w:footnoteRef/>
      </w:r>
      <w:r w:rsidRPr="003449E5">
        <w:rPr>
          <w:rFonts w:cs="Times New Roman"/>
        </w:rPr>
        <w:t xml:space="preserve"> </w:t>
      </w:r>
      <w:r w:rsidRPr="003449E5">
        <w:rPr>
          <w:rFonts w:cs="Times New Roman"/>
        </w:rPr>
        <w:t>[</w:t>
      </w:r>
      <w:proofErr w:type="spellStart"/>
      <w:r w:rsidRPr="003449E5">
        <w:rPr>
          <w:rFonts w:cs="Times New Roman"/>
          <w:i/>
          <w:color w:val="000000"/>
          <w:lang w:eastAsia="zh-CN"/>
        </w:rPr>
        <w:t>Apotex</w:t>
      </w:r>
      <w:proofErr w:type="spellEnd"/>
      <w:r w:rsidRPr="003449E5">
        <w:rPr>
          <w:rFonts w:cs="Times New Roman"/>
          <w:color w:val="000000"/>
          <w:lang w:eastAsia="zh-CN"/>
        </w:rPr>
        <w:t>, Final Award, 25</w:t>
      </w:r>
      <w:r w:rsidRPr="003449E5">
        <w:rPr>
          <w:rFonts w:cs="Times New Roman"/>
          <w:color w:val="000000"/>
          <w:lang w:eastAsia="zh-CN"/>
        </w:rPr>
        <w:t xml:space="preserve"> Aug. 2014]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03066"/>
    <w:multiLevelType w:val="hybridMultilevel"/>
    <w:tmpl w:val="7AB4A950"/>
    <w:lvl w:ilvl="0" w:tplc="FB1276B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455B8E"/>
    <w:multiLevelType w:val="hybridMultilevel"/>
    <w:tmpl w:val="EB0EF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1C"/>
    <w:rsid w:val="003449E5"/>
    <w:rsid w:val="00626074"/>
    <w:rsid w:val="009C231C"/>
    <w:rsid w:val="00A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B5B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ajorBidi"/>
        <w:b/>
        <w:bCs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1C"/>
    <w:rPr>
      <w:rFonts w:ascii="Times New Roman" w:hAnsi="Times New Roman" w:cstheme="minorBidi"/>
      <w:b w:val="0"/>
      <w:bCs w:val="0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449E5"/>
    <w:pPr>
      <w:keepNext/>
      <w:keepLines/>
      <w:spacing w:before="200"/>
      <w:outlineLvl w:val="4"/>
    </w:pPr>
    <w:rPr>
      <w:rFonts w:eastAsiaTheme="majorEastAs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1C"/>
    <w:pPr>
      <w:numPr>
        <w:numId w:val="2"/>
      </w:numPr>
      <w:contextualSpacing/>
    </w:pPr>
    <w:rPr>
      <w:rFonts w:eastAsia="Times New Roman" w:cs="Times New Roman"/>
      <w:shd w:val="clear" w:color="auto" w:fill="FFFFFF"/>
      <w:lang w:eastAsia="en-US"/>
    </w:rPr>
  </w:style>
  <w:style w:type="paragraph" w:styleId="FootnoteText">
    <w:name w:val="footnote text"/>
    <w:aliases w:val="fn"/>
    <w:basedOn w:val="Normal"/>
    <w:link w:val="FootnoteTextChar"/>
    <w:uiPriority w:val="99"/>
    <w:unhideWhenUsed/>
    <w:rsid w:val="009C231C"/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9C231C"/>
    <w:rPr>
      <w:rFonts w:ascii="Times New Roman" w:hAnsi="Times New Roman" w:cstheme="minorBidi"/>
      <w:b w:val="0"/>
      <w:bCs w:val="0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C231C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3449E5"/>
    <w:rPr>
      <w:rFonts w:ascii="Times New Roman" w:eastAsiaTheme="majorEastAsia" w:hAnsi="Times New Roman" w:cs="Times New Roman"/>
      <w:b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ajorBidi"/>
        <w:b/>
        <w:bCs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1C"/>
    <w:rPr>
      <w:rFonts w:ascii="Times New Roman" w:hAnsi="Times New Roman" w:cstheme="minorBidi"/>
      <w:b w:val="0"/>
      <w:bCs w:val="0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449E5"/>
    <w:pPr>
      <w:keepNext/>
      <w:keepLines/>
      <w:spacing w:before="200"/>
      <w:outlineLvl w:val="4"/>
    </w:pPr>
    <w:rPr>
      <w:rFonts w:eastAsiaTheme="majorEastAs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1C"/>
    <w:pPr>
      <w:numPr>
        <w:numId w:val="2"/>
      </w:numPr>
      <w:contextualSpacing/>
    </w:pPr>
    <w:rPr>
      <w:rFonts w:eastAsia="Times New Roman" w:cs="Times New Roman"/>
      <w:shd w:val="clear" w:color="auto" w:fill="FFFFFF"/>
      <w:lang w:eastAsia="en-US"/>
    </w:rPr>
  </w:style>
  <w:style w:type="paragraph" w:styleId="FootnoteText">
    <w:name w:val="footnote text"/>
    <w:aliases w:val="fn"/>
    <w:basedOn w:val="Normal"/>
    <w:link w:val="FootnoteTextChar"/>
    <w:uiPriority w:val="99"/>
    <w:unhideWhenUsed/>
    <w:rsid w:val="009C231C"/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9C231C"/>
    <w:rPr>
      <w:rFonts w:ascii="Times New Roman" w:hAnsi="Times New Roman" w:cstheme="minorBidi"/>
      <w:b w:val="0"/>
      <w:bCs w:val="0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C231C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3449E5"/>
    <w:rPr>
      <w:rFonts w:ascii="Times New Roman" w:eastAsiaTheme="majorEastAsia" w:hAnsi="Times New Roman" w:cs="Times New Roman"/>
      <w:bCs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659</Words>
  <Characters>3760</Characters>
  <Application>Microsoft Macintosh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Ugale</dc:creator>
  <cp:keywords/>
  <dc:description/>
  <cp:lastModifiedBy>Anastasiya Ugale</cp:lastModifiedBy>
  <cp:revision>3</cp:revision>
  <dcterms:created xsi:type="dcterms:W3CDTF">2018-09-06T15:15:00Z</dcterms:created>
  <dcterms:modified xsi:type="dcterms:W3CDTF">2018-09-24T19:32:00Z</dcterms:modified>
</cp:coreProperties>
</file>