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0B3B24"/>
          <w:sz w:val="48"/>
        </w:rPr>
        <w:t>TÀI LIỆU BẢNG GIÁ CƯỚC &amp; MÔ HÌNH ROI (PRICING &amp; ROI DOC)</w:t>
      </w:r>
    </w:p>
    <w:p>
      <w:r>
        <w:rPr>
          <w:rFonts w:ascii="Arial" w:hAnsi="Arial"/>
          <w:i/>
          <w:color w:val="D4AF37"/>
          <w:sz w:val="22"/>
        </w:rPr>
        <w:t>Coffee EU-Check AI — B2B SaaS Commercial Model &amp; Return on Investment Analysis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0B3B24"/>
          <w:sz w:val="32"/>
        </w:rPr>
        <w:t>1. 3 GÓI CƯỚC THƯƠNG MẠI &amp; ĐỐI TƯỢNG PHÙ HỢP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3B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D4AF37"/>
              </w:rPr>
              <w:t>Tên Gói Cước</w:t>
            </w:r>
          </w:p>
        </w:tc>
        <w:tc>
          <w:tcPr>
            <w:tcW w:type="dxa" w:w="2340"/>
            <w:shd w:fill="0B3B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D4AF37"/>
              </w:rPr>
              <w:t>Đơn Giá</w:t>
            </w:r>
          </w:p>
        </w:tc>
        <w:tc>
          <w:tcPr>
            <w:tcW w:type="dxa" w:w="2340"/>
            <w:shd w:fill="0B3B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D4AF37"/>
              </w:rPr>
              <w:t>Đối Tượng Phù Hợp</w:t>
            </w:r>
          </w:p>
        </w:tc>
        <w:tc>
          <w:tcPr>
            <w:tcW w:type="dxa" w:w="2340"/>
            <w:shd w:fill="0B3B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D4AF37"/>
              </w:rPr>
              <w:t>Quyền Lợi Cốt Lõi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Starter Pay-Per-Shipment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1.200.000 VNĐ / lô hàng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HTX &amp; Doanh nghiệp vừa (5 - 15 container/năm)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Quét 100% GeoJSON + OCR Hợp đồng + Cấp QR Passport 5 năm + Báo cáo Action Plan PDF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Enterprise Professional (Khuyên Dùng)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15.000.000 VNĐ / tháng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Doanh nghiệp Xuất khẩu Top 20 (15 - 80 container/tháng)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Không giới hạn số lô tiền kiểm + Động cơ PostGIS &amp; Copernicus Vệ tinh + Hỗ trợ Hải quan EU 24/7 + RLS Dedicated Database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Custom Infrastructure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Báo giá B2B Tập đoàn Top 10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Tập đoàn Xuất khẩu Đa quốc gia (&gt; 100 container/tháng)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4"/>
          </w:tcPr>
          <w:p>
            <w:r>
              <w:t>Triển khai Private Cloud / On-Premise + Custom AI Model + API Webhook tích hợp ERP SAP/Oracle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0B3B24"/>
          <w:sz w:val="32"/>
        </w:rPr>
        <w:t>2. CÔNG THỨC ROI CHUẨN XUẤT KHẨU CÀ PHÊ EU</w:t>
      </w:r>
    </w:p>
    <w:p>
      <w:pPr>
        <w:spacing w:before="240" w:after="80"/>
      </w:pPr>
      <w:r>
        <w:rPr>
          <w:rFonts w:ascii="Arial" w:hAnsi="Arial"/>
          <w:b/>
          <w:color w:val="D4AF37"/>
          <w:sz w:val="26"/>
        </w:rPr>
        <w:t>ĐẦU VÀO (INPUT)  ---&gt;  TIẾT KIỆM (SAVINGS)  ---&gt;  THỜI GIAN HOÀN VỐN (PAYBACK)</w:t>
      </w:r>
    </w:p>
    <w:p>
      <w:pPr>
        <w:spacing w:before="160" w:after="40"/>
      </w:pPr>
      <w:r>
        <w:rPr>
          <w:rFonts w:ascii="Arial" w:hAnsi="Arial"/>
          <w:b/>
          <w:color w:val="0B3B24"/>
          <w:sz w:val="22"/>
        </w:rPr>
        <w:t>A. THÔNG SỐ ĐẦU VÀO (INPUT PARAMETERS)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Quy mô lô hàng: </w:t>
      </w:r>
      <w:r>
        <w:rPr>
          <w:rFonts w:ascii="Arial" w:hAnsi="Arial"/>
          <w:color w:val="080B09"/>
          <w:sz w:val="20"/>
        </w:rPr>
        <w:t>20 Container Cà Phê Robusta/Arabica xuất cảng EU per tháng.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Giá trị trung bình lô hàng: </w:t>
      </w:r>
      <w:r>
        <w:rPr>
          <w:rFonts w:ascii="Arial" w:hAnsi="Arial"/>
          <w:color w:val="080B09"/>
          <w:sz w:val="20"/>
        </w:rPr>
        <w:t>$90.000 USD (Khoảng 2.25 Tỷ VNĐ) / Container 20ft.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Phí tổn rủi ro gián đoạn cảng EU: </w:t>
      </w:r>
      <w:r>
        <w:rPr>
          <w:rFonts w:ascii="Arial" w:hAnsi="Arial"/>
          <w:color w:val="080B09"/>
          <w:sz w:val="20"/>
        </w:rPr>
        <w:t>$15.000 USD / Container (Tiền phạt lưu container, lưu bãi demurrage/detention và bồi thường hợp đồng đối tác EU).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Áp lực phạt tối đa EUDR Art. 38: </w:t>
      </w:r>
      <w:r>
        <w:rPr>
          <w:rFonts w:ascii="Arial" w:hAnsi="Arial"/>
          <w:color w:val="080B09"/>
          <w:sz w:val="20"/>
        </w:rPr>
        <w:t>4% Tổng doanh thu toàn cầu theo Điều 38 EUDR (Áp dụng khi bị kết luận cố tình xuất cà phê từ vùng phá rừng).</w:t>
      </w:r>
    </w:p>
    <w:p>
      <w:pPr>
        <w:spacing w:before="160" w:after="40"/>
      </w:pPr>
      <w:r>
        <w:rPr>
          <w:rFonts w:ascii="Arial" w:hAnsi="Arial"/>
          <w:b/>
          <w:color w:val="0B3B24"/>
          <w:sz w:val="22"/>
        </w:rPr>
        <w:t>B. TÍNH TOÁN TIẾT KIỆM (MEASURABLE SAVINGS)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1. Tránh chi phí phạt lưu cảng: </w:t>
      </w:r>
      <w:r>
        <w:rPr>
          <w:rFonts w:ascii="Arial" w:hAnsi="Arial"/>
          <w:color w:val="080B09"/>
          <w:sz w:val="20"/>
        </w:rPr>
        <w:t>Loại bỏ hoàn toàn nguy cơ 1 container bị giữ tại cảng EU do lỗi GeoJSON/Hợp đồng hết hạn -&gt; Tiết kiệm trực tiếp $15.000 USD (375.000.000 VNĐ).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2. Tiết kiệm chi phí nhân sự kiểm toán: </w:t>
      </w:r>
      <w:r>
        <w:rPr>
          <w:rFonts w:ascii="Arial" w:hAnsi="Arial"/>
          <w:color w:val="080B09"/>
          <w:sz w:val="20"/>
        </w:rPr>
        <w:t>Giảm từ 3 nhân sự thẩm định thủ công (Chi phí 45.000.000 VNĐ/tháng) xuống 01 nhân sự vận hành AI SaaS (Tiết kiệm 30.000.000 VNĐ/tháng).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3. TỔNG TIẾT KIỆM MỖI THÁNG: </w:t>
      </w:r>
      <w:r>
        <w:rPr>
          <w:rFonts w:ascii="Arial" w:hAnsi="Arial"/>
          <w:color w:val="080B09"/>
          <w:sz w:val="20"/>
        </w:rPr>
        <w:t>375.000.000 VNĐ (Phí lưu kho tránh được) + 30.000.000 VNĐ (Nhân sự) = 405.000.000 VNĐ / Tháng.</w:t>
      </w:r>
    </w:p>
    <w:p>
      <w:pPr>
        <w:spacing w:before="160" w:after="40"/>
      </w:pPr>
      <w:r>
        <w:rPr>
          <w:rFonts w:ascii="Arial" w:hAnsi="Arial"/>
          <w:b/>
          <w:color w:val="0B3B24"/>
          <w:sz w:val="22"/>
        </w:rPr>
        <w:t>C. THỜI GIAN HOÀN VỐN (PAYBACK PERIOD)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Chi phí đầu tư SaaS: </w:t>
      </w:r>
      <w:r>
        <w:rPr>
          <w:rFonts w:ascii="Arial" w:hAnsi="Arial"/>
          <w:color w:val="080B09"/>
          <w:sz w:val="20"/>
        </w:rPr>
        <w:t>Chi phí gói Enterprise Pro: 15.000.000 VNĐ / Tháng.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Tỷ lệ ROI Hàng Tháng: </w:t>
      </w:r>
      <w:r>
        <w:rPr>
          <w:rFonts w:ascii="Arial" w:hAnsi="Arial"/>
          <w:color w:val="080B09"/>
          <w:sz w:val="20"/>
        </w:rPr>
        <w:t>Tỷ lệ ROI = (405.000.000 VNĐ Tiết kiệm / 15.000.000 VNĐ Chi phí SaaS) = 2700% (Gấp 27 lần).</w:t>
      </w:r>
    </w:p>
    <w:p>
      <w:pPr>
        <w:spacing w:after="120" w:line="276" w:lineRule="auto"/>
      </w:pPr>
      <w:r>
        <w:rPr>
          <w:rFonts w:ascii="Arial" w:hAnsi="Arial"/>
          <w:b/>
          <w:color w:val="080B09"/>
          <w:sz w:val="20"/>
        </w:rPr>
        <w:t xml:space="preserve">· THỜI GIAN HOÀN VỐN: </w:t>
      </w:r>
      <w:r>
        <w:rPr>
          <w:rFonts w:ascii="Arial" w:hAnsi="Arial"/>
          <w:color w:val="080B09"/>
          <w:sz w:val="20"/>
        </w:rPr>
        <w:t>HOÀN VỐN NGAY TỪ LÔ HÀNG ĐẦU TIÊN (DƯỚI 03 NGÀY VẬN HÀNH).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CHỨNG NHẬN TIỀN KIỂM BẢO MẬT 5 NĂM (EUDR ART. 31) — KHÔNG THAY THẾ CHO BẢO MẬT HẢI QUAN BẮC BỘ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COFFEE EU-CHECK AI  |  TÀI LIỆU BẢNG GIÁ CƯỚC &amp; MÔ HÌNH ROI (PRICING &amp; ROI DOC)  |  THEMIS REGAL LEGAL-TECH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D736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D736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