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Práctica de Laboratorio</w:t>
      </w:r>
    </w:p>
    <w:p>
      <w:pPr>
        <w:spacing w:after="60"/>
        <w:jc w:val="center"/>
      </w:pPr>
      <w:r>
        <w:rPr>
          <w:b/>
          <w:bCs/>
          <w:sz w:val="28"/>
          <w:szCs w:val="28"/>
        </w:rPr>
        <w:t xml:space="preserve">Simulaciones numéricas de Interacción de la Radiación con la Materia: Efecto Fotoeléctrico</w:t>
      </w:r>
    </w:p>
    <w:p>
      <w:pPr>
        <w:spacing w:after="240"/>
        <w:jc w:val="center"/>
      </w:pPr>
      <w:r>
        <w:rPr>
          <w:b/>
          <w:bCs/>
          <w:sz w:val="28"/>
          <w:szCs w:val="28"/>
        </w:rPr>
        <w:t xml:space="preserve">Física 2</w:t>
      </w:r>
    </w:p>
    <w:p>
      <w:pPr>
        <w:spacing w:after="40"/>
      </w:pPr>
      <w:r>
        <w:rPr>
          <w:b/>
          <w:bCs/>
          <w:sz w:val="22"/>
          <w:szCs w:val="22"/>
        </w:rPr>
        <w:t xml:space="preserve">Integrantes: </w:t>
      </w:r>
      <w:r>
        <w:rPr>
          <w:sz w:val="22"/>
          <w:szCs w:val="22"/>
        </w:rPr>
        <w:t xml:space="preserve">Sandez, Rocío</w:t>
      </w:r>
    </w:p>
    <w:p>
      <w:pPr>
        <w:spacing w:after="120"/>
        <w:ind w:left="1200"/>
      </w:pPr>
      <w:r>
        <w:rPr>
          <w:sz w:val="22"/>
          <w:szCs w:val="22"/>
        </w:rPr>
        <w:t xml:space="preserve">Pezzarini, Carla</w:t>
      </w:r>
    </w:p>
    <w:p>
      <w:pPr>
        <w:spacing w:after="40"/>
      </w:pPr>
      <w:r>
        <w:rPr>
          <w:b/>
          <w:bCs/>
          <w:sz w:val="22"/>
          <w:szCs w:val="22"/>
        </w:rPr>
        <w:t xml:space="preserve">Docentes: </w:t>
      </w:r>
      <w:r>
        <w:rPr>
          <w:sz w:val="22"/>
          <w:szCs w:val="22"/>
        </w:rPr>
        <w:t xml:space="preserve">Dr. Brian Wundheiler</w:t>
      </w:r>
    </w:p>
    <w:p>
      <w:pPr>
        <w:spacing w:after="40"/>
        <w:ind w:left="1050"/>
      </w:pPr>
      <w:r>
        <w:rPr>
          <w:sz w:val="22"/>
          <w:szCs w:val="22"/>
        </w:rPr>
        <w:t xml:space="preserve">Dr. Diego Melo</w:t>
      </w:r>
    </w:p>
    <w:p>
      <w:pPr>
        <w:spacing w:after="240"/>
      </w:pPr>
      <w:r>
        <w:rPr>
          <w:b/>
          <w:bCs/>
          <w:sz w:val="22"/>
          <w:szCs w:val="22"/>
        </w:rPr>
        <w:t xml:space="preserve">Fecha de realización: </w:t>
      </w:r>
      <w:r>
        <w:rPr>
          <w:sz w:val="22"/>
          <w:szCs w:val="22"/>
        </w:rPr>
        <w:t xml:space="preserve">octubre de 2026</w:t>
      </w:r>
    </w:p>
    <w:p>
      <w:pPr>
        <w:pStyle w:val="Heading2"/>
        <w:spacing w:after="120" w:before="240"/>
      </w:pPr>
      <w:r>
        <w:rPr>
          <w:b/>
          <w:bCs/>
          <w:color w:val="000000"/>
          <w:sz w:val="26"/>
          <w:szCs w:val="26"/>
        </w:rPr>
        <w:t xml:space="preserve">1. Objetivo</w:t>
      </w:r>
    </w:p>
    <w:p>
      <w:pPr>
        <w:spacing w:after="120" w:line="276"/>
        <w:jc w:val="both"/>
      </w:pPr>
      <w:r>
        <w:rPr>
          <w:b w:val="false"/>
          <w:bCs w:val="false"/>
          <w:i w:val="false"/>
          <w:iCs w:val="false"/>
          <w:sz w:val="22"/>
          <w:szCs w:val="22"/>
        </w:rPr>
        <w:t xml:space="preserve">Determinar mediante simulación numérica la longitud de onda crítica λC y la función de trabajo φ₀ del sodio, el zinc y el platino, y comparar los valores obtenidos con los de literatura a través de la diferencia relativa porcentual.</w:t>
      </w:r>
    </w:p>
    <w:p>
      <w:pPr>
        <w:pStyle w:val="Heading2"/>
        <w:spacing w:after="120" w:before="240"/>
      </w:pPr>
      <w:r>
        <w:rPr>
          <w:b/>
          <w:bCs/>
          <w:color w:val="000000"/>
          <w:sz w:val="26"/>
          <w:szCs w:val="26"/>
        </w:rPr>
        <w:t xml:space="preserve">2. Metodología</w:t>
      </w:r>
    </w:p>
    <w:p>
      <w:pPr>
        <w:spacing w:after="120" w:line="276"/>
        <w:jc w:val="both"/>
      </w:pPr>
      <w:r>
        <w:rPr>
          <w:b w:val="false"/>
          <w:bCs w:val="false"/>
          <w:i w:val="false"/>
          <w:iCs w:val="false"/>
          <w:sz w:val="22"/>
          <w:szCs w:val="22"/>
        </w:rPr>
        <w:t xml:space="preserve">Se utilizó la simulación photoelectric_es. Para cada material se lo seleccionó con la opción Target, se lo iluminó con la máxima intensidad que entrega la fuente (Intensidad = 100 %) y se puso la fuente de tensión en 0 V.</w:t>
      </w:r>
    </w:p>
    <w:p>
      <w:pPr>
        <w:spacing w:after="120" w:line="276"/>
        <w:jc w:val="both"/>
      </w:pPr>
      <w:r>
        <w:rPr>
          <w:b w:val="false"/>
          <w:bCs w:val="false"/>
          <w:i w:val="false"/>
          <w:iCs w:val="false"/>
          <w:sz w:val="22"/>
          <w:szCs w:val="22"/>
        </w:rPr>
        <w:t xml:space="preserve">Con esa configuración se fue modificando la longitud de onda del haz desde el infrarrojo hacia el ultravioleta para determinar la máxima longitud de onda a la que todavía se produce efecto fotoeléctrico, es decir la longitud de onda crítica λC. Se usaron dos criterios distintos para decidir cuándo deja de producirse el efecto: que el amperímetro deje de marcar corriente, y que dejen de verse electrones saliendo de la placa dentro del tubo.</w:t>
      </w:r>
    </w:p>
    <w:p>
      <w:pPr>
        <w:spacing w:after="120" w:line="276"/>
        <w:jc w:val="both"/>
      </w:pPr>
      <w:r>
        <w:rPr>
          <w:b w:val="false"/>
          <w:bCs w:val="false"/>
          <w:i w:val="false"/>
          <w:iCs w:val="false"/>
          <w:sz w:val="22"/>
          <w:szCs w:val="22"/>
        </w:rPr>
        <w:t xml:space="preserve">A partir de λC se redujo la longitud de onda de a 10 nm, hasta veinte veces o hasta donde llega el rango de la fuente, y en cada paso se buscó la diferencia de potencial necesaria para evitar la producción de efecto fotoeléctrico, que es el potencial de frenado Vf. También se registraron, para cada longitud de onda, varios puntos de la curva de corriente en función del voltaje, para obtener Vf de una segunda manera: prolongando esa recta hasta corriente cero.</w:t>
      </w:r>
    </w:p>
    <w:p>
      <w:pPr>
        <w:spacing w:after="120" w:line="276"/>
        <w:jc w:val="both"/>
      </w:pPr>
      <w:r>
        <w:rPr>
          <w:b w:val="false"/>
          <w:bCs w:val="false"/>
          <w:i w:val="false"/>
          <w:iCs w:val="false"/>
          <w:sz w:val="22"/>
          <w:szCs w:val="22"/>
        </w:rPr>
        <w:t xml:space="preserve">Finalmente se graficó Vf en función de 1/λ y se hizo una regresión lineal. De la relación de Einstein</w:t>
      </w:r>
    </w:p>
    <w:p>
      <w:pPr>
        <w:spacing w:after="60" w:before="60"/>
        <w:jc w:val="center"/>
      </w:pPr>
      <w:r>
        <w:rPr>
          <w:b/>
          <w:bCs/>
          <w:sz w:val="22"/>
          <w:szCs w:val="22"/>
        </w:rPr>
        <w:t xml:space="preserve">e · Vf = h·c/λ − φ₀     →     Vf = (hc/e) · (1/λ) − φ₀/e</w:t>
      </w:r>
    </w:p>
    <w:p>
      <w:pPr>
        <w:spacing w:after="120" w:line="276"/>
        <w:jc w:val="both"/>
      </w:pPr>
      <w:r>
        <w:rPr>
          <w:b w:val="false"/>
          <w:bCs w:val="false"/>
          <w:i w:val="false"/>
          <w:iCs w:val="false"/>
          <w:sz w:val="22"/>
          <w:szCs w:val="22"/>
        </w:rPr>
        <w:t xml:space="preserve">se desprende que la pendiente de esa recta vale hc/e y que la ordenada al origen vale −φ₀/e. De la ordenada se obtiene la función de trabajo del material y de la pendiente, la constante de Planck.</w:t>
      </w:r>
    </w:p>
    <w:p>
      <w:pPr>
        <w:spacing w:after="80" w:before="180"/>
      </w:pPr>
      <w:r>
        <w:rPr>
          <w:b/>
          <w:bCs/>
          <w:sz w:val="23"/>
          <w:szCs w:val="23"/>
        </w:rPr>
        <w:t xml:space="preserve">Incertezas</w:t>
      </w:r>
    </w:p>
    <w:p>
      <w:pPr>
        <w:spacing w:after="120" w:line="276"/>
        <w:jc w:val="both"/>
      </w:pPr>
      <w:r>
        <w:rPr>
          <w:b w:val="false"/>
          <w:bCs w:val="false"/>
          <w:i w:val="false"/>
          <w:iCs w:val="false"/>
          <w:sz w:val="22"/>
          <w:szCs w:val="22"/>
        </w:rPr>
        <w:t xml:space="preserve">La longitud de onda no aporta incerteza: el control la fija en un número entero de nanómetros, no se lee de una escala, así que el valor de 1/λ es exacto. La única cantidad medida es el potencial de frenado, que queda determinado con una resolución de δVf = 0,001 V, que es el paso al que llega la búsqueda.</w:t>
      </w:r>
    </w:p>
    <w:p>
      <w:pPr>
        <w:spacing w:after="120" w:line="276"/>
        <w:jc w:val="both"/>
      </w:pPr>
      <w:r>
        <w:rPr>
          <w:b w:val="false"/>
          <w:bCs w:val="false"/>
          <w:i w:val="false"/>
          <w:iCs w:val="false"/>
          <w:sz w:val="22"/>
          <w:szCs w:val="22"/>
        </w:rPr>
        <w:t xml:space="preserve">Para cada parámetro de la regresión se informa una incerteza que combina en cuadratura dos aportes: la dispersión de los puntos alrededor de la recta ajustada y la propagación de δVf. En el método del corte domina el primer aporte y en el de extrapolación, donde los puntos caen prácticamente sobre la recta, domina el segundo.</w:t>
      </w:r>
    </w:p>
    <w:p>
      <w:pPr>
        <w:pStyle w:val="Heading2"/>
        <w:spacing w:after="120" w:before="240"/>
      </w:pPr>
      <w:r>
        <w:rPr>
          <w:b/>
          <w:bCs/>
          <w:color w:val="000000"/>
          <w:sz w:val="26"/>
          <w:szCs w:val="26"/>
        </w:rPr>
        <w:t xml:space="preserve">3. Resultados y observaciones</w:t>
      </w:r>
    </w:p>
    <w:p>
      <w:pPr>
        <w:spacing w:after="80" w:before="180"/>
      </w:pPr>
      <w:r>
        <w:rPr>
          <w:b/>
          <w:bCs/>
          <w:sz w:val="23"/>
          <w:szCs w:val="23"/>
        </w:rPr>
        <w:t xml:space="preserve">Datos experimentales</w:t>
      </w:r>
    </w:p>
    <w:p>
      <w:pPr>
        <w:spacing w:after="120" w:line="276"/>
        <w:jc w:val="both"/>
      </w:pPr>
      <w:r>
        <w:rPr>
          <w:b w:val="false"/>
          <w:bCs w:val="false"/>
          <w:i w:val="false"/>
          <w:iCs w:val="false"/>
          <w:sz w:val="22"/>
          <w:szCs w:val="22"/>
        </w:rPr>
        <w:t xml:space="preserve">Se obtuvieron 20 pares (λ, Vf) para el sodio, 16 para el zinc y 8 para el platino. Para los dos últimos no fue posible hacer las veinte reducciones de 10 nm que pide la práctica porque la longitud de onda de la fuente no baja de 100 nm: partiendo de su λC, el zinc llega hasta 108 nm y el platino hasta 105 nm. Los registros completos se encuentran en la siguiente planilla:</w:t>
      </w:r>
    </w:p>
    <w:p>
      <w:pPr>
        <w:spacing w:after="40"/>
        <w:ind w:left="360"/>
      </w:pPr>
      <w:r>
        <w:rPr>
          <w:sz w:val="22"/>
          <w:szCs w:val="22"/>
        </w:rPr>
        <w:t xml:space="preserve">• efecto_fotoelectrico.xlsx — tablas, regresiones y gráficos</w:t>
      </w:r>
    </w:p>
    <w:p>
      <w:pPr>
        <w:spacing w:after="160"/>
        <w:ind w:left="360"/>
      </w:pPr>
      <w:r>
        <w:rPr>
          <w:sz w:val="22"/>
          <w:szCs w:val="22"/>
        </w:rPr>
        <w:t xml:space="preserve">• datos_crudos.xlsx — las mediciones tal como se tomaron, incluidas las curvas de corriente contra voltaje</w:t>
      </w:r>
    </w:p>
    <w:p>
      <w:pPr>
        <w:spacing w:after="120" w:line="276"/>
        <w:jc w:val="both"/>
      </w:pPr>
      <w:r>
        <w:rPr>
          <w:b w:val="false"/>
          <w:bCs w:val="false"/>
          <w:i w:val="false"/>
          <w:iCs w:val="false"/>
          <w:sz w:val="22"/>
          <w:szCs w:val="22"/>
        </w:rPr>
        <w:t xml:space="preserve">La primera planilla tiene una hoja por material con la longitud de onda, su inversa 1/λ y el potencial de frenado medido por los dos métodos, y una hoja de resumen con los resultados de todas las regresiones. La segunda guarda las mediciones originales, incluidos los puntos de cada recta de corriente contra voltaje. A modo de ejemplo se reproduce la tabla del platino, que es la más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0"/>
        <w:gridCol w:w="1452"/>
        <w:gridCol w:w="1937"/>
        <w:gridCol w:w="2259"/>
        <w:gridCol w:w="2582"/>
      </w:tblGrid>
      <w:tr>
        <w:trPr>
          <w:tblHeader/>
        </w:trPr>
        <w:tc>
          <w:tcPr>
            <w:tcW w:type="dxa" w:w="1130"/>
            <w:shd w:fill="DDE7F3" w:color="auto" w:val="clear"/>
            <w:tcMar>
              <w:top w:type="dxa" w:w="60"/>
              <w:left w:type="dxa" w:w="80"/>
              <w:bottom w:type="dxa" w:w="60"/>
              <w:right w:type="dxa" w:w="80"/>
            </w:tcMar>
          </w:tcPr>
          <w:p>
            <w:pPr>
              <w:jc w:val="left"/>
            </w:pPr>
            <w:r>
              <w:rPr>
                <w:b/>
                <w:bCs/>
                <w:sz w:val="19"/>
                <w:szCs w:val="19"/>
              </w:rPr>
              <w:t xml:space="preserve">Paso</w:t>
            </w:r>
          </w:p>
        </w:tc>
        <w:tc>
          <w:tcPr>
            <w:tcW w:type="dxa" w:w="1452"/>
            <w:shd w:fill="DDE7F3" w:color="auto" w:val="clear"/>
            <w:tcMar>
              <w:top w:type="dxa" w:w="60"/>
              <w:left w:type="dxa" w:w="80"/>
              <w:bottom w:type="dxa" w:w="60"/>
              <w:right w:type="dxa" w:w="80"/>
            </w:tcMar>
          </w:tcPr>
          <w:p>
            <w:pPr>
              <w:jc w:val="center"/>
            </w:pPr>
            <w:r>
              <w:rPr>
                <w:b/>
                <w:bCs/>
                <w:sz w:val="19"/>
                <w:szCs w:val="19"/>
              </w:rPr>
              <w:t xml:space="preserve">λ (nm)</w:t>
            </w:r>
          </w:p>
        </w:tc>
        <w:tc>
          <w:tcPr>
            <w:tcW w:type="dxa" w:w="1937"/>
            <w:shd w:fill="DDE7F3" w:color="auto" w:val="clear"/>
            <w:tcMar>
              <w:top w:type="dxa" w:w="60"/>
              <w:left w:type="dxa" w:w="80"/>
              <w:bottom w:type="dxa" w:w="60"/>
              <w:right w:type="dxa" w:w="80"/>
            </w:tcMar>
          </w:tcPr>
          <w:p>
            <w:pPr>
              <w:jc w:val="center"/>
            </w:pPr>
            <w:r>
              <w:rPr>
                <w:b/>
                <w:bCs/>
                <w:sz w:val="19"/>
                <w:szCs w:val="19"/>
              </w:rPr>
              <w:t xml:space="preserve">1/λ (nm⁻¹)</w:t>
            </w:r>
          </w:p>
        </w:tc>
        <w:tc>
          <w:tcPr>
            <w:tcW w:type="dxa" w:w="2259"/>
            <w:shd w:fill="DDE7F3" w:color="auto" w:val="clear"/>
            <w:tcMar>
              <w:top w:type="dxa" w:w="60"/>
              <w:left w:type="dxa" w:w="80"/>
              <w:bottom w:type="dxa" w:w="60"/>
              <w:right w:type="dxa" w:w="80"/>
            </w:tcMar>
          </w:tcPr>
          <w:p>
            <w:pPr>
              <w:jc w:val="center"/>
            </w:pPr>
            <w:r>
              <w:rPr>
                <w:b/>
                <w:bCs/>
                <w:sz w:val="19"/>
                <w:szCs w:val="19"/>
              </w:rPr>
              <w:t xml:space="preserve">Vf por corte (V)</w:t>
            </w:r>
          </w:p>
        </w:tc>
        <w:tc>
          <w:tcPr>
            <w:tcW w:type="dxa" w:w="2582"/>
            <w:shd w:fill="DDE7F3" w:color="auto" w:val="clear"/>
            <w:tcMar>
              <w:top w:type="dxa" w:w="60"/>
              <w:left w:type="dxa" w:w="80"/>
              <w:bottom w:type="dxa" w:w="60"/>
              <w:right w:type="dxa" w:w="80"/>
            </w:tcMar>
          </w:tcPr>
          <w:p>
            <w:pPr>
              <w:jc w:val="center"/>
            </w:pPr>
            <w:r>
              <w:rPr>
                <w:b/>
                <w:bCs/>
                <w:sz w:val="19"/>
                <w:szCs w:val="19"/>
              </w:rPr>
              <w:t xml:space="preserve">Vf por extrapolación (V)</w:t>
            </w:r>
          </w:p>
        </w:tc>
      </w:tr>
      <w:tr>
        <w:tc>
          <w:tcPr>
            <w:tcW w:type="dxa" w:w="1130"/>
            <w:tcMar>
              <w:top w:type="dxa" w:w="60"/>
              <w:left w:type="dxa" w:w="80"/>
              <w:bottom w:type="dxa" w:w="60"/>
              <w:right w:type="dxa" w:w="80"/>
            </w:tcMar>
          </w:tcPr>
          <w:p>
            <w:pPr>
              <w:jc w:val="left"/>
            </w:pPr>
            <w:r>
              <w:rPr>
                <w:b w:val="false"/>
                <w:bCs w:val="false"/>
                <w:sz w:val="19"/>
                <w:szCs w:val="19"/>
              </w:rPr>
              <w:t xml:space="preserve">1</w:t>
            </w:r>
          </w:p>
        </w:tc>
        <w:tc>
          <w:tcPr>
            <w:tcW w:type="dxa" w:w="1452"/>
            <w:tcMar>
              <w:top w:type="dxa" w:w="60"/>
              <w:left w:type="dxa" w:w="80"/>
              <w:bottom w:type="dxa" w:w="60"/>
              <w:right w:type="dxa" w:w="80"/>
            </w:tcMar>
          </w:tcPr>
          <w:p>
            <w:pPr>
              <w:jc w:val="center"/>
            </w:pPr>
            <w:r>
              <w:rPr>
                <w:b w:val="false"/>
                <w:bCs w:val="false"/>
                <w:sz w:val="19"/>
                <w:szCs w:val="19"/>
              </w:rPr>
              <w:t xml:space="preserve">175</w:t>
            </w:r>
          </w:p>
        </w:tc>
        <w:tc>
          <w:tcPr>
            <w:tcW w:type="dxa" w:w="1937"/>
            <w:tcMar>
              <w:top w:type="dxa" w:w="60"/>
              <w:left w:type="dxa" w:w="80"/>
              <w:bottom w:type="dxa" w:w="60"/>
              <w:right w:type="dxa" w:w="80"/>
            </w:tcMar>
          </w:tcPr>
          <w:p>
            <w:pPr>
              <w:jc w:val="center"/>
            </w:pPr>
            <w:r>
              <w:rPr>
                <w:b w:val="false"/>
                <w:bCs w:val="false"/>
                <w:sz w:val="19"/>
                <w:szCs w:val="19"/>
              </w:rPr>
              <w:t xml:space="preserve">0,005714</w:t>
            </w:r>
          </w:p>
        </w:tc>
        <w:tc>
          <w:tcPr>
            <w:tcW w:type="dxa" w:w="2259"/>
            <w:tcMar>
              <w:top w:type="dxa" w:w="60"/>
              <w:left w:type="dxa" w:w="80"/>
              <w:bottom w:type="dxa" w:w="60"/>
              <w:right w:type="dxa" w:w="80"/>
            </w:tcMar>
          </w:tcPr>
          <w:p>
            <w:pPr>
              <w:jc w:val="center"/>
            </w:pPr>
            <w:r>
              <w:rPr>
                <w:b w:val="false"/>
                <w:bCs w:val="false"/>
                <w:sz w:val="19"/>
                <w:szCs w:val="19"/>
              </w:rPr>
              <w:t xml:space="preserve">0,5869</w:t>
            </w:r>
          </w:p>
        </w:tc>
        <w:tc>
          <w:tcPr>
            <w:tcW w:type="dxa" w:w="2582"/>
            <w:tcMar>
              <w:top w:type="dxa" w:w="60"/>
              <w:left w:type="dxa" w:w="80"/>
              <w:bottom w:type="dxa" w:w="60"/>
              <w:right w:type="dxa" w:w="80"/>
            </w:tcMar>
          </w:tcPr>
          <w:p>
            <w:pPr>
              <w:jc w:val="center"/>
            </w:pPr>
            <w:r>
              <w:rPr>
                <w:b w:val="false"/>
                <w:bCs w:val="false"/>
                <w:sz w:val="19"/>
                <w:szCs w:val="19"/>
              </w:rPr>
              <w:t xml:space="preserve">0,7846</w:t>
            </w:r>
          </w:p>
        </w:tc>
      </w:tr>
      <w:tr>
        <w:tc>
          <w:tcPr>
            <w:tcW w:type="dxa" w:w="1130"/>
            <w:tcMar>
              <w:top w:type="dxa" w:w="60"/>
              <w:left w:type="dxa" w:w="80"/>
              <w:bottom w:type="dxa" w:w="60"/>
              <w:right w:type="dxa" w:w="80"/>
            </w:tcMar>
          </w:tcPr>
          <w:p>
            <w:pPr>
              <w:jc w:val="left"/>
            </w:pPr>
            <w:r>
              <w:rPr>
                <w:b w:val="false"/>
                <w:bCs w:val="false"/>
                <w:sz w:val="19"/>
                <w:szCs w:val="19"/>
              </w:rPr>
              <w:t xml:space="preserve">2</w:t>
            </w:r>
          </w:p>
        </w:tc>
        <w:tc>
          <w:tcPr>
            <w:tcW w:type="dxa" w:w="1452"/>
            <w:tcMar>
              <w:top w:type="dxa" w:w="60"/>
              <w:left w:type="dxa" w:w="80"/>
              <w:bottom w:type="dxa" w:w="60"/>
              <w:right w:type="dxa" w:w="80"/>
            </w:tcMar>
          </w:tcPr>
          <w:p>
            <w:pPr>
              <w:jc w:val="center"/>
            </w:pPr>
            <w:r>
              <w:rPr>
                <w:b w:val="false"/>
                <w:bCs w:val="false"/>
                <w:sz w:val="19"/>
                <w:szCs w:val="19"/>
              </w:rPr>
              <w:t xml:space="preserve">165</w:t>
            </w:r>
          </w:p>
        </w:tc>
        <w:tc>
          <w:tcPr>
            <w:tcW w:type="dxa" w:w="1937"/>
            <w:tcMar>
              <w:top w:type="dxa" w:w="60"/>
              <w:left w:type="dxa" w:w="80"/>
              <w:bottom w:type="dxa" w:w="60"/>
              <w:right w:type="dxa" w:w="80"/>
            </w:tcMar>
          </w:tcPr>
          <w:p>
            <w:pPr>
              <w:jc w:val="center"/>
            </w:pPr>
            <w:r>
              <w:rPr>
                <w:b w:val="false"/>
                <w:bCs w:val="false"/>
                <w:sz w:val="19"/>
                <w:szCs w:val="19"/>
              </w:rPr>
              <w:t xml:space="preserve">0,006061</w:t>
            </w:r>
          </w:p>
        </w:tc>
        <w:tc>
          <w:tcPr>
            <w:tcW w:type="dxa" w:w="2259"/>
            <w:tcMar>
              <w:top w:type="dxa" w:w="60"/>
              <w:left w:type="dxa" w:w="80"/>
              <w:bottom w:type="dxa" w:w="60"/>
              <w:right w:type="dxa" w:w="80"/>
            </w:tcMar>
          </w:tcPr>
          <w:p>
            <w:pPr>
              <w:jc w:val="center"/>
            </w:pPr>
            <w:r>
              <w:rPr>
                <w:b w:val="false"/>
                <w:bCs w:val="false"/>
                <w:sz w:val="19"/>
                <w:szCs w:val="19"/>
              </w:rPr>
              <w:t xml:space="preserve">1,0791</w:t>
            </w:r>
          </w:p>
        </w:tc>
        <w:tc>
          <w:tcPr>
            <w:tcW w:type="dxa" w:w="2582"/>
            <w:tcMar>
              <w:top w:type="dxa" w:w="60"/>
              <w:left w:type="dxa" w:w="80"/>
              <w:bottom w:type="dxa" w:w="60"/>
              <w:right w:type="dxa" w:w="80"/>
            </w:tcMar>
          </w:tcPr>
          <w:p>
            <w:pPr>
              <w:jc w:val="center"/>
            </w:pPr>
            <w:r>
              <w:rPr>
                <w:b w:val="false"/>
                <w:bCs w:val="false"/>
                <w:sz w:val="19"/>
                <w:szCs w:val="19"/>
              </w:rPr>
              <w:t xml:space="preserve">1,2139</w:t>
            </w:r>
          </w:p>
        </w:tc>
      </w:tr>
      <w:tr>
        <w:tc>
          <w:tcPr>
            <w:tcW w:type="dxa" w:w="1130"/>
            <w:tcMar>
              <w:top w:type="dxa" w:w="60"/>
              <w:left w:type="dxa" w:w="80"/>
              <w:bottom w:type="dxa" w:w="60"/>
              <w:right w:type="dxa" w:w="80"/>
            </w:tcMar>
          </w:tcPr>
          <w:p>
            <w:pPr>
              <w:jc w:val="left"/>
            </w:pPr>
            <w:r>
              <w:rPr>
                <w:b w:val="false"/>
                <w:bCs w:val="false"/>
                <w:sz w:val="19"/>
                <w:szCs w:val="19"/>
              </w:rPr>
              <w:t xml:space="preserve">3</w:t>
            </w:r>
          </w:p>
        </w:tc>
        <w:tc>
          <w:tcPr>
            <w:tcW w:type="dxa" w:w="1452"/>
            <w:tcMar>
              <w:top w:type="dxa" w:w="60"/>
              <w:left w:type="dxa" w:w="80"/>
              <w:bottom w:type="dxa" w:w="60"/>
              <w:right w:type="dxa" w:w="80"/>
            </w:tcMar>
          </w:tcPr>
          <w:p>
            <w:pPr>
              <w:jc w:val="center"/>
            </w:pPr>
            <w:r>
              <w:rPr>
                <w:b w:val="false"/>
                <w:bCs w:val="false"/>
                <w:sz w:val="19"/>
                <w:szCs w:val="19"/>
              </w:rPr>
              <w:t xml:space="preserve">155</w:t>
            </w:r>
          </w:p>
        </w:tc>
        <w:tc>
          <w:tcPr>
            <w:tcW w:type="dxa" w:w="1937"/>
            <w:tcMar>
              <w:top w:type="dxa" w:w="60"/>
              <w:left w:type="dxa" w:w="80"/>
              <w:bottom w:type="dxa" w:w="60"/>
              <w:right w:type="dxa" w:w="80"/>
            </w:tcMar>
          </w:tcPr>
          <w:p>
            <w:pPr>
              <w:jc w:val="center"/>
            </w:pPr>
            <w:r>
              <w:rPr>
                <w:b w:val="false"/>
                <w:bCs w:val="false"/>
                <w:sz w:val="19"/>
                <w:szCs w:val="19"/>
              </w:rPr>
              <w:t xml:space="preserve">0,006452</w:t>
            </w:r>
          </w:p>
        </w:tc>
        <w:tc>
          <w:tcPr>
            <w:tcW w:type="dxa" w:w="2259"/>
            <w:tcMar>
              <w:top w:type="dxa" w:w="60"/>
              <w:left w:type="dxa" w:w="80"/>
              <w:bottom w:type="dxa" w:w="60"/>
              <w:right w:type="dxa" w:w="80"/>
            </w:tcMar>
          </w:tcPr>
          <w:p>
            <w:pPr>
              <w:jc w:val="center"/>
            </w:pPr>
            <w:r>
              <w:rPr>
                <w:b w:val="false"/>
                <w:bCs w:val="false"/>
                <w:sz w:val="19"/>
                <w:szCs w:val="19"/>
              </w:rPr>
              <w:t xml:space="preserve">1,5957</w:t>
            </w:r>
          </w:p>
        </w:tc>
        <w:tc>
          <w:tcPr>
            <w:tcW w:type="dxa" w:w="2582"/>
            <w:tcMar>
              <w:top w:type="dxa" w:w="60"/>
              <w:left w:type="dxa" w:w="80"/>
              <w:bottom w:type="dxa" w:w="60"/>
              <w:right w:type="dxa" w:w="80"/>
            </w:tcMar>
          </w:tcPr>
          <w:p>
            <w:pPr>
              <w:jc w:val="center"/>
            </w:pPr>
            <w:r>
              <w:rPr>
                <w:b w:val="false"/>
                <w:bCs w:val="false"/>
                <w:sz w:val="19"/>
                <w:szCs w:val="19"/>
              </w:rPr>
              <w:t xml:space="preserve">1,6987</w:t>
            </w:r>
          </w:p>
        </w:tc>
      </w:tr>
      <w:tr>
        <w:tc>
          <w:tcPr>
            <w:tcW w:type="dxa" w:w="1130"/>
            <w:tcMar>
              <w:top w:type="dxa" w:w="60"/>
              <w:left w:type="dxa" w:w="80"/>
              <w:bottom w:type="dxa" w:w="60"/>
              <w:right w:type="dxa" w:w="80"/>
            </w:tcMar>
          </w:tcPr>
          <w:p>
            <w:pPr>
              <w:jc w:val="left"/>
            </w:pPr>
            <w:r>
              <w:rPr>
                <w:b w:val="false"/>
                <w:bCs w:val="false"/>
                <w:sz w:val="19"/>
                <w:szCs w:val="19"/>
              </w:rPr>
              <w:t xml:space="preserve">4</w:t>
            </w:r>
          </w:p>
        </w:tc>
        <w:tc>
          <w:tcPr>
            <w:tcW w:type="dxa" w:w="1452"/>
            <w:tcMar>
              <w:top w:type="dxa" w:w="60"/>
              <w:left w:type="dxa" w:w="80"/>
              <w:bottom w:type="dxa" w:w="60"/>
              <w:right w:type="dxa" w:w="80"/>
            </w:tcMar>
          </w:tcPr>
          <w:p>
            <w:pPr>
              <w:jc w:val="center"/>
            </w:pPr>
            <w:r>
              <w:rPr>
                <w:b w:val="false"/>
                <w:bCs w:val="false"/>
                <w:sz w:val="19"/>
                <w:szCs w:val="19"/>
              </w:rPr>
              <w:t xml:space="preserve">145</w:t>
            </w:r>
          </w:p>
        </w:tc>
        <w:tc>
          <w:tcPr>
            <w:tcW w:type="dxa" w:w="1937"/>
            <w:tcMar>
              <w:top w:type="dxa" w:w="60"/>
              <w:left w:type="dxa" w:w="80"/>
              <w:bottom w:type="dxa" w:w="60"/>
              <w:right w:type="dxa" w:w="80"/>
            </w:tcMar>
          </w:tcPr>
          <w:p>
            <w:pPr>
              <w:jc w:val="center"/>
            </w:pPr>
            <w:r>
              <w:rPr>
                <w:b w:val="false"/>
                <w:bCs w:val="false"/>
                <w:sz w:val="19"/>
                <w:szCs w:val="19"/>
              </w:rPr>
              <w:t xml:space="preserve">0,006897</w:t>
            </w:r>
          </w:p>
        </w:tc>
        <w:tc>
          <w:tcPr>
            <w:tcW w:type="dxa" w:w="2259"/>
            <w:tcMar>
              <w:top w:type="dxa" w:w="60"/>
              <w:left w:type="dxa" w:w="80"/>
              <w:bottom w:type="dxa" w:w="60"/>
              <w:right w:type="dxa" w:w="80"/>
            </w:tcMar>
          </w:tcPr>
          <w:p>
            <w:pPr>
              <w:jc w:val="center"/>
            </w:pPr>
            <w:r>
              <w:rPr>
                <w:b w:val="false"/>
                <w:bCs w:val="false"/>
                <w:sz w:val="19"/>
                <w:szCs w:val="19"/>
              </w:rPr>
              <w:t xml:space="preserve">2,1670</w:t>
            </w:r>
          </w:p>
        </w:tc>
        <w:tc>
          <w:tcPr>
            <w:tcW w:type="dxa" w:w="2582"/>
            <w:tcMar>
              <w:top w:type="dxa" w:w="60"/>
              <w:left w:type="dxa" w:w="80"/>
              <w:bottom w:type="dxa" w:w="60"/>
              <w:right w:type="dxa" w:w="80"/>
            </w:tcMar>
          </w:tcPr>
          <w:p>
            <w:pPr>
              <w:jc w:val="center"/>
            </w:pPr>
            <w:r>
              <w:rPr>
                <w:b w:val="false"/>
                <w:bCs w:val="false"/>
                <w:sz w:val="19"/>
                <w:szCs w:val="19"/>
              </w:rPr>
              <w:t xml:space="preserve">2,2503</w:t>
            </w:r>
          </w:p>
        </w:tc>
      </w:tr>
      <w:tr>
        <w:tc>
          <w:tcPr>
            <w:tcW w:type="dxa" w:w="1130"/>
            <w:tcMar>
              <w:top w:type="dxa" w:w="60"/>
              <w:left w:type="dxa" w:w="80"/>
              <w:bottom w:type="dxa" w:w="60"/>
              <w:right w:type="dxa" w:w="80"/>
            </w:tcMar>
          </w:tcPr>
          <w:p>
            <w:pPr>
              <w:jc w:val="left"/>
            </w:pPr>
            <w:r>
              <w:rPr>
                <w:b w:val="false"/>
                <w:bCs w:val="false"/>
                <w:sz w:val="19"/>
                <w:szCs w:val="19"/>
              </w:rPr>
              <w:t xml:space="preserve">5</w:t>
            </w:r>
          </w:p>
        </w:tc>
        <w:tc>
          <w:tcPr>
            <w:tcW w:type="dxa" w:w="1452"/>
            <w:tcMar>
              <w:top w:type="dxa" w:w="60"/>
              <w:left w:type="dxa" w:w="80"/>
              <w:bottom w:type="dxa" w:w="60"/>
              <w:right w:type="dxa" w:w="80"/>
            </w:tcMar>
          </w:tcPr>
          <w:p>
            <w:pPr>
              <w:jc w:val="center"/>
            </w:pPr>
            <w:r>
              <w:rPr>
                <w:b w:val="false"/>
                <w:bCs w:val="false"/>
                <w:sz w:val="19"/>
                <w:szCs w:val="19"/>
              </w:rPr>
              <w:t xml:space="preserve">135</w:t>
            </w:r>
          </w:p>
        </w:tc>
        <w:tc>
          <w:tcPr>
            <w:tcW w:type="dxa" w:w="1937"/>
            <w:tcMar>
              <w:top w:type="dxa" w:w="60"/>
              <w:left w:type="dxa" w:w="80"/>
              <w:bottom w:type="dxa" w:w="60"/>
              <w:right w:type="dxa" w:w="80"/>
            </w:tcMar>
          </w:tcPr>
          <w:p>
            <w:pPr>
              <w:jc w:val="center"/>
            </w:pPr>
            <w:r>
              <w:rPr>
                <w:b w:val="false"/>
                <w:bCs w:val="false"/>
                <w:sz w:val="19"/>
                <w:szCs w:val="19"/>
              </w:rPr>
              <w:t xml:space="preserve">0,007407</w:t>
            </w:r>
          </w:p>
        </w:tc>
        <w:tc>
          <w:tcPr>
            <w:tcW w:type="dxa" w:w="2259"/>
            <w:tcMar>
              <w:top w:type="dxa" w:w="60"/>
              <w:left w:type="dxa" w:w="80"/>
              <w:bottom w:type="dxa" w:w="60"/>
              <w:right w:type="dxa" w:w="80"/>
            </w:tcMar>
          </w:tcPr>
          <w:p>
            <w:pPr>
              <w:jc w:val="center"/>
            </w:pPr>
            <w:r>
              <w:rPr>
                <w:b w:val="false"/>
                <w:bCs w:val="false"/>
                <w:sz w:val="19"/>
                <w:szCs w:val="19"/>
              </w:rPr>
              <w:t xml:space="preserve">2,8145</w:t>
            </w:r>
          </w:p>
        </w:tc>
        <w:tc>
          <w:tcPr>
            <w:tcW w:type="dxa" w:w="2582"/>
            <w:tcMar>
              <w:top w:type="dxa" w:w="60"/>
              <w:left w:type="dxa" w:w="80"/>
              <w:bottom w:type="dxa" w:w="60"/>
              <w:right w:type="dxa" w:w="80"/>
            </w:tcMar>
          </w:tcPr>
          <w:p>
            <w:pPr>
              <w:jc w:val="center"/>
            </w:pPr>
            <w:r>
              <w:rPr>
                <w:b w:val="false"/>
                <w:bCs w:val="false"/>
                <w:sz w:val="19"/>
                <w:szCs w:val="19"/>
              </w:rPr>
              <w:t xml:space="preserve">2,8837</w:t>
            </w:r>
          </w:p>
        </w:tc>
      </w:tr>
      <w:tr>
        <w:tc>
          <w:tcPr>
            <w:tcW w:type="dxa" w:w="1130"/>
            <w:tcMar>
              <w:top w:type="dxa" w:w="60"/>
              <w:left w:type="dxa" w:w="80"/>
              <w:bottom w:type="dxa" w:w="60"/>
              <w:right w:type="dxa" w:w="80"/>
            </w:tcMar>
          </w:tcPr>
          <w:p>
            <w:pPr>
              <w:jc w:val="left"/>
            </w:pPr>
            <w:r>
              <w:rPr>
                <w:b w:val="false"/>
                <w:bCs w:val="false"/>
                <w:sz w:val="19"/>
                <w:szCs w:val="19"/>
              </w:rPr>
              <w:t xml:space="preserve">6</w:t>
            </w:r>
          </w:p>
        </w:tc>
        <w:tc>
          <w:tcPr>
            <w:tcW w:type="dxa" w:w="1452"/>
            <w:tcMar>
              <w:top w:type="dxa" w:w="60"/>
              <w:left w:type="dxa" w:w="80"/>
              <w:bottom w:type="dxa" w:w="60"/>
              <w:right w:type="dxa" w:w="80"/>
            </w:tcMar>
          </w:tcPr>
          <w:p>
            <w:pPr>
              <w:jc w:val="center"/>
            </w:pPr>
            <w:r>
              <w:rPr>
                <w:b w:val="false"/>
                <w:bCs w:val="false"/>
                <w:sz w:val="19"/>
                <w:szCs w:val="19"/>
              </w:rPr>
              <w:t xml:space="preserve">125</w:t>
            </w:r>
          </w:p>
        </w:tc>
        <w:tc>
          <w:tcPr>
            <w:tcW w:type="dxa" w:w="1937"/>
            <w:tcMar>
              <w:top w:type="dxa" w:w="60"/>
              <w:left w:type="dxa" w:w="80"/>
              <w:bottom w:type="dxa" w:w="60"/>
              <w:right w:type="dxa" w:w="80"/>
            </w:tcMar>
          </w:tcPr>
          <w:p>
            <w:pPr>
              <w:jc w:val="center"/>
            </w:pPr>
            <w:r>
              <w:rPr>
                <w:b w:val="false"/>
                <w:bCs w:val="false"/>
                <w:sz w:val="19"/>
                <w:szCs w:val="19"/>
              </w:rPr>
              <w:t xml:space="preserve">0,008000</w:t>
            </w:r>
          </w:p>
        </w:tc>
        <w:tc>
          <w:tcPr>
            <w:tcW w:type="dxa" w:w="2259"/>
            <w:tcMar>
              <w:top w:type="dxa" w:w="60"/>
              <w:left w:type="dxa" w:w="80"/>
              <w:bottom w:type="dxa" w:w="60"/>
              <w:right w:type="dxa" w:w="80"/>
            </w:tcMar>
          </w:tcPr>
          <w:p>
            <w:pPr>
              <w:jc w:val="center"/>
            </w:pPr>
            <w:r>
              <w:rPr>
                <w:b w:val="false"/>
                <w:bCs w:val="false"/>
                <w:sz w:val="19"/>
                <w:szCs w:val="19"/>
              </w:rPr>
              <w:t xml:space="preserve">3,5586</w:t>
            </w:r>
          </w:p>
        </w:tc>
        <w:tc>
          <w:tcPr>
            <w:tcW w:type="dxa" w:w="2582"/>
            <w:tcMar>
              <w:top w:type="dxa" w:w="60"/>
              <w:left w:type="dxa" w:w="80"/>
              <w:bottom w:type="dxa" w:w="60"/>
              <w:right w:type="dxa" w:w="80"/>
            </w:tcMar>
          </w:tcPr>
          <w:p>
            <w:pPr>
              <w:jc w:val="center"/>
            </w:pPr>
            <w:r>
              <w:rPr>
                <w:b w:val="false"/>
                <w:bCs w:val="false"/>
                <w:sz w:val="19"/>
                <w:szCs w:val="19"/>
              </w:rPr>
              <w:t xml:space="preserve">3,6184</w:t>
            </w:r>
          </w:p>
        </w:tc>
      </w:tr>
      <w:tr>
        <w:tc>
          <w:tcPr>
            <w:tcW w:type="dxa" w:w="1130"/>
            <w:tcMar>
              <w:top w:type="dxa" w:w="60"/>
              <w:left w:type="dxa" w:w="80"/>
              <w:bottom w:type="dxa" w:w="60"/>
              <w:right w:type="dxa" w:w="80"/>
            </w:tcMar>
          </w:tcPr>
          <w:p>
            <w:pPr>
              <w:jc w:val="left"/>
            </w:pPr>
            <w:r>
              <w:rPr>
                <w:b w:val="false"/>
                <w:bCs w:val="false"/>
                <w:sz w:val="19"/>
                <w:szCs w:val="19"/>
              </w:rPr>
              <w:t xml:space="preserve">7</w:t>
            </w:r>
          </w:p>
        </w:tc>
        <w:tc>
          <w:tcPr>
            <w:tcW w:type="dxa" w:w="1452"/>
            <w:tcMar>
              <w:top w:type="dxa" w:w="60"/>
              <w:left w:type="dxa" w:w="80"/>
              <w:bottom w:type="dxa" w:w="60"/>
              <w:right w:type="dxa" w:w="80"/>
            </w:tcMar>
          </w:tcPr>
          <w:p>
            <w:pPr>
              <w:jc w:val="center"/>
            </w:pPr>
            <w:r>
              <w:rPr>
                <w:b w:val="false"/>
                <w:bCs w:val="false"/>
                <w:sz w:val="19"/>
                <w:szCs w:val="19"/>
              </w:rPr>
              <w:t xml:space="preserve">115</w:t>
            </w:r>
          </w:p>
        </w:tc>
        <w:tc>
          <w:tcPr>
            <w:tcW w:type="dxa" w:w="1937"/>
            <w:tcMar>
              <w:top w:type="dxa" w:w="60"/>
              <w:left w:type="dxa" w:w="80"/>
              <w:bottom w:type="dxa" w:w="60"/>
              <w:right w:type="dxa" w:w="80"/>
            </w:tcMar>
          </w:tcPr>
          <w:p>
            <w:pPr>
              <w:jc w:val="center"/>
            </w:pPr>
            <w:r>
              <w:rPr>
                <w:b w:val="false"/>
                <w:bCs w:val="false"/>
                <w:sz w:val="19"/>
                <w:szCs w:val="19"/>
              </w:rPr>
              <w:t xml:space="preserve">0,008696</w:t>
            </w:r>
          </w:p>
        </w:tc>
        <w:tc>
          <w:tcPr>
            <w:tcW w:type="dxa" w:w="2259"/>
            <w:tcMar>
              <w:top w:type="dxa" w:w="60"/>
              <w:left w:type="dxa" w:w="80"/>
              <w:bottom w:type="dxa" w:w="60"/>
              <w:right w:type="dxa" w:w="80"/>
            </w:tcMar>
          </w:tcPr>
          <w:p>
            <w:pPr>
              <w:jc w:val="center"/>
            </w:pPr>
            <w:r>
              <w:rPr>
                <w:b w:val="false"/>
                <w:bCs w:val="false"/>
                <w:sz w:val="19"/>
                <w:szCs w:val="19"/>
              </w:rPr>
              <w:t xml:space="preserve">4,4219</w:t>
            </w:r>
          </w:p>
        </w:tc>
        <w:tc>
          <w:tcPr>
            <w:tcW w:type="dxa" w:w="2582"/>
            <w:tcMar>
              <w:top w:type="dxa" w:w="60"/>
              <w:left w:type="dxa" w:w="80"/>
              <w:bottom w:type="dxa" w:w="60"/>
              <w:right w:type="dxa" w:w="80"/>
            </w:tcMar>
          </w:tcPr>
          <w:p>
            <w:pPr>
              <w:jc w:val="center"/>
            </w:pPr>
            <w:r>
              <w:rPr>
                <w:b w:val="false"/>
                <w:bCs w:val="false"/>
                <w:sz w:val="19"/>
                <w:szCs w:val="19"/>
              </w:rPr>
              <w:t xml:space="preserve">4,4809</w:t>
            </w:r>
          </w:p>
        </w:tc>
      </w:tr>
      <w:tr>
        <w:tc>
          <w:tcPr>
            <w:tcW w:type="dxa" w:w="1130"/>
            <w:tcMar>
              <w:top w:type="dxa" w:w="60"/>
              <w:left w:type="dxa" w:w="80"/>
              <w:bottom w:type="dxa" w:w="60"/>
              <w:right w:type="dxa" w:w="80"/>
            </w:tcMar>
          </w:tcPr>
          <w:p>
            <w:pPr>
              <w:jc w:val="left"/>
            </w:pPr>
            <w:r>
              <w:rPr>
                <w:b w:val="false"/>
                <w:bCs w:val="false"/>
                <w:sz w:val="19"/>
                <w:szCs w:val="19"/>
              </w:rPr>
              <w:t xml:space="preserve">8</w:t>
            </w:r>
          </w:p>
        </w:tc>
        <w:tc>
          <w:tcPr>
            <w:tcW w:type="dxa" w:w="1452"/>
            <w:tcMar>
              <w:top w:type="dxa" w:w="60"/>
              <w:left w:type="dxa" w:w="80"/>
              <w:bottom w:type="dxa" w:w="60"/>
              <w:right w:type="dxa" w:w="80"/>
            </w:tcMar>
          </w:tcPr>
          <w:p>
            <w:pPr>
              <w:jc w:val="center"/>
            </w:pPr>
            <w:r>
              <w:rPr>
                <w:b w:val="false"/>
                <w:bCs w:val="false"/>
                <w:sz w:val="19"/>
                <w:szCs w:val="19"/>
              </w:rPr>
              <w:t xml:space="preserve">105</w:t>
            </w:r>
          </w:p>
        </w:tc>
        <w:tc>
          <w:tcPr>
            <w:tcW w:type="dxa" w:w="1937"/>
            <w:tcMar>
              <w:top w:type="dxa" w:w="60"/>
              <w:left w:type="dxa" w:w="80"/>
              <w:bottom w:type="dxa" w:w="60"/>
              <w:right w:type="dxa" w:w="80"/>
            </w:tcMar>
          </w:tcPr>
          <w:p>
            <w:pPr>
              <w:jc w:val="center"/>
            </w:pPr>
            <w:r>
              <w:rPr>
                <w:b w:val="false"/>
                <w:bCs w:val="false"/>
                <w:sz w:val="19"/>
                <w:szCs w:val="19"/>
              </w:rPr>
              <w:t xml:space="preserve">0,009524</w:t>
            </w:r>
          </w:p>
        </w:tc>
        <w:tc>
          <w:tcPr>
            <w:tcW w:type="dxa" w:w="2259"/>
            <w:tcMar>
              <w:top w:type="dxa" w:w="60"/>
              <w:left w:type="dxa" w:w="80"/>
              <w:bottom w:type="dxa" w:w="60"/>
              <w:right w:type="dxa" w:w="80"/>
            </w:tcMar>
          </w:tcPr>
          <w:p>
            <w:pPr>
              <w:jc w:val="center"/>
            </w:pPr>
            <w:r>
              <w:rPr>
                <w:b w:val="false"/>
                <w:bCs w:val="false"/>
                <w:sz w:val="19"/>
                <w:szCs w:val="19"/>
              </w:rPr>
              <w:t xml:space="preserve">5,4434</w:t>
            </w:r>
          </w:p>
        </w:tc>
        <w:tc>
          <w:tcPr>
            <w:tcW w:type="dxa" w:w="2582"/>
            <w:tcMar>
              <w:top w:type="dxa" w:w="60"/>
              <w:left w:type="dxa" w:w="80"/>
              <w:bottom w:type="dxa" w:w="60"/>
              <w:right w:type="dxa" w:w="80"/>
            </w:tcMar>
          </w:tcPr>
          <w:p>
            <w:pPr>
              <w:jc w:val="center"/>
            </w:pPr>
            <w:r>
              <w:rPr>
                <w:b w:val="false"/>
                <w:bCs w:val="false"/>
                <w:sz w:val="19"/>
                <w:szCs w:val="19"/>
              </w:rPr>
              <w:t xml:space="preserve">5,5076</w:t>
            </w:r>
          </w:p>
        </w:tc>
      </w:tr>
    </w:tbl>
    <w:p>
      <w:pPr>
        <w:spacing w:after="160"/>
        <w:jc w:val="center"/>
      </w:pPr>
      <w:r>
        <w:rPr>
          <w:i/>
          <w:iCs/>
          <w:sz w:val="20"/>
          <w:szCs w:val="20"/>
        </w:rPr>
        <w:t xml:space="preserve">Tabla 1. Mediciones del platino. La longitud de onda parte de λC = 185 nm y baja de a 10 nm hasta el límite de la fuente.</w:t>
      </w:r>
    </w:p>
    <w:p>
      <w:pPr>
        <w:spacing w:after="80" w:before="180"/>
      </w:pPr>
      <w:r>
        <w:rPr>
          <w:b/>
          <w:bCs/>
          <w:sz w:val="23"/>
          <w:szCs w:val="23"/>
        </w:rPr>
        <w:t xml:space="preserve">Longitud de onda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2"/>
        <w:gridCol w:w="2826"/>
        <w:gridCol w:w="2826"/>
        <w:gridCol w:w="1766"/>
      </w:tblGrid>
      <w:tr>
        <w:trPr>
          <w:tblHeader/>
        </w:trPr>
        <w:tc>
          <w:tcPr>
            <w:tcW w:type="dxa" w:w="1942"/>
            <w:shd w:fill="DDE7F3" w:color="auto" w:val="clear"/>
            <w:tcMar>
              <w:top w:type="dxa" w:w="60"/>
              <w:left w:type="dxa" w:w="80"/>
              <w:bottom w:type="dxa" w:w="60"/>
              <w:right w:type="dxa" w:w="80"/>
            </w:tcMar>
          </w:tcPr>
          <w:p>
            <w:pPr>
              <w:jc w:val="left"/>
            </w:pPr>
            <w:r>
              <w:rPr>
                <w:b/>
                <w:bCs/>
                <w:sz w:val="19"/>
                <w:szCs w:val="19"/>
              </w:rPr>
              <w:t xml:space="preserve">Material</w:t>
            </w:r>
          </w:p>
        </w:tc>
        <w:tc>
          <w:tcPr>
            <w:tcW w:type="dxa" w:w="2826"/>
            <w:shd w:fill="DDE7F3" w:color="auto" w:val="clear"/>
            <w:tcMar>
              <w:top w:type="dxa" w:w="60"/>
              <w:left w:type="dxa" w:w="80"/>
              <w:bottom w:type="dxa" w:w="60"/>
              <w:right w:type="dxa" w:w="80"/>
            </w:tcMar>
          </w:tcPr>
          <w:p>
            <w:pPr>
              <w:jc w:val="center"/>
            </w:pPr>
            <w:r>
              <w:rPr>
                <w:b/>
                <w:bCs/>
                <w:sz w:val="19"/>
                <w:szCs w:val="19"/>
              </w:rPr>
              <w:t xml:space="preserve">λC con el amperímetro
en cero (nm)</w:t>
            </w:r>
          </w:p>
        </w:tc>
        <w:tc>
          <w:tcPr>
            <w:tcW w:type="dxa" w:w="2826"/>
            <w:shd w:fill="DDE7F3" w:color="auto" w:val="clear"/>
            <w:tcMar>
              <w:top w:type="dxa" w:w="60"/>
              <w:left w:type="dxa" w:w="80"/>
              <w:bottom w:type="dxa" w:w="60"/>
              <w:right w:type="dxa" w:w="80"/>
            </w:tcMar>
          </w:tcPr>
          <w:p>
            <w:pPr>
              <w:jc w:val="center"/>
            </w:pPr>
            <w:r>
              <w:rPr>
                <w:b/>
                <w:bCs/>
                <w:sz w:val="19"/>
                <w:szCs w:val="19"/>
              </w:rPr>
              <w:t xml:space="preserve">λC cuando dejan de salir
electrones (nm)</w:t>
            </w:r>
          </w:p>
        </w:tc>
        <w:tc>
          <w:tcPr>
            <w:tcW w:type="dxa" w:w="1766"/>
            <w:shd w:fill="DDE7F3" w:color="auto" w:val="clear"/>
            <w:tcMar>
              <w:top w:type="dxa" w:w="60"/>
              <w:left w:type="dxa" w:w="80"/>
              <w:bottom w:type="dxa" w:w="60"/>
              <w:right w:type="dxa" w:w="80"/>
            </w:tcMar>
          </w:tcPr>
          <w:p>
            <w:pPr>
              <w:jc w:val="center"/>
            </w:pPr>
            <w:r>
              <w:rPr>
                <w:b/>
                <w:bCs/>
                <w:sz w:val="19"/>
                <w:szCs w:val="19"/>
              </w:rPr>
              <w:t xml:space="preserve">hc/φ₀ (nm)</w:t>
            </w:r>
          </w:p>
        </w:tc>
      </w:tr>
      <w:tr>
        <w:tc>
          <w:tcPr>
            <w:tcW w:type="dxa" w:w="1942"/>
            <w:tcMar>
              <w:top w:type="dxa" w:w="60"/>
              <w:left w:type="dxa" w:w="80"/>
              <w:bottom w:type="dxa" w:w="60"/>
              <w:right w:type="dxa" w:w="80"/>
            </w:tcMar>
          </w:tcPr>
          <w:p>
            <w:pPr>
              <w:jc w:val="left"/>
            </w:pPr>
            <w:r>
              <w:rPr>
                <w:b w:val="false"/>
                <w:bCs w:val="false"/>
                <w:sz w:val="19"/>
                <w:szCs w:val="19"/>
              </w:rPr>
              <w:t xml:space="preserve">Sodio</w:t>
            </w:r>
          </w:p>
        </w:tc>
        <w:tc>
          <w:tcPr>
            <w:tcW w:type="dxa" w:w="2826"/>
            <w:tcMar>
              <w:top w:type="dxa" w:w="60"/>
              <w:left w:type="dxa" w:w="80"/>
              <w:bottom w:type="dxa" w:w="60"/>
              <w:right w:type="dxa" w:w="80"/>
            </w:tcMar>
          </w:tcPr>
          <w:p>
            <w:pPr>
              <w:jc w:val="center"/>
            </w:pPr>
            <w:r>
              <w:rPr>
                <w:b w:val="false"/>
                <w:bCs w:val="false"/>
                <w:sz w:val="19"/>
                <w:szCs w:val="19"/>
              </w:rPr>
              <w:t xml:space="preserve">488</w:t>
            </w:r>
          </w:p>
        </w:tc>
        <w:tc>
          <w:tcPr>
            <w:tcW w:type="dxa" w:w="2826"/>
            <w:tcMar>
              <w:top w:type="dxa" w:w="60"/>
              <w:left w:type="dxa" w:w="80"/>
              <w:bottom w:type="dxa" w:w="60"/>
              <w:right w:type="dxa" w:w="80"/>
            </w:tcMar>
          </w:tcPr>
          <w:p>
            <w:pPr>
              <w:jc w:val="center"/>
            </w:pPr>
            <w:r>
              <w:rPr>
                <w:b w:val="false"/>
                <w:bCs w:val="false"/>
                <w:sz w:val="19"/>
                <w:szCs w:val="19"/>
              </w:rPr>
              <w:t xml:space="preserve">539</w:t>
            </w:r>
          </w:p>
        </w:tc>
        <w:tc>
          <w:tcPr>
            <w:tcW w:type="dxa" w:w="1766"/>
            <w:tcMar>
              <w:top w:type="dxa" w:w="60"/>
              <w:left w:type="dxa" w:w="80"/>
              <w:bottom w:type="dxa" w:w="60"/>
              <w:right w:type="dxa" w:w="80"/>
            </w:tcMar>
          </w:tcPr>
          <w:p>
            <w:pPr>
              <w:jc w:val="center"/>
            </w:pPr>
            <w:r>
              <w:rPr>
                <w:b w:val="false"/>
                <w:bCs w:val="false"/>
                <w:sz w:val="19"/>
                <w:szCs w:val="19"/>
              </w:rPr>
              <w:t xml:space="preserve">539,1</w:t>
            </w:r>
          </w:p>
        </w:tc>
      </w:tr>
      <w:tr>
        <w:tc>
          <w:tcPr>
            <w:tcW w:type="dxa" w:w="1942"/>
            <w:tcMar>
              <w:top w:type="dxa" w:w="60"/>
              <w:left w:type="dxa" w:w="80"/>
              <w:bottom w:type="dxa" w:w="60"/>
              <w:right w:type="dxa" w:w="80"/>
            </w:tcMar>
          </w:tcPr>
          <w:p>
            <w:pPr>
              <w:jc w:val="left"/>
            </w:pPr>
            <w:r>
              <w:rPr>
                <w:b w:val="false"/>
                <w:bCs w:val="false"/>
                <w:sz w:val="19"/>
                <w:szCs w:val="19"/>
              </w:rPr>
              <w:t xml:space="preserve">Zinc</w:t>
            </w:r>
          </w:p>
        </w:tc>
        <w:tc>
          <w:tcPr>
            <w:tcW w:type="dxa" w:w="2826"/>
            <w:tcMar>
              <w:top w:type="dxa" w:w="60"/>
              <w:left w:type="dxa" w:w="80"/>
              <w:bottom w:type="dxa" w:w="60"/>
              <w:right w:type="dxa" w:w="80"/>
            </w:tcMar>
          </w:tcPr>
          <w:p>
            <w:pPr>
              <w:jc w:val="center"/>
            </w:pPr>
            <w:r>
              <w:rPr>
                <w:b w:val="false"/>
                <w:bCs w:val="false"/>
                <w:sz w:val="19"/>
                <w:szCs w:val="19"/>
              </w:rPr>
              <w:t xml:space="preserve">268</w:t>
            </w:r>
          </w:p>
        </w:tc>
        <w:tc>
          <w:tcPr>
            <w:tcW w:type="dxa" w:w="2826"/>
            <w:tcMar>
              <w:top w:type="dxa" w:w="60"/>
              <w:left w:type="dxa" w:w="80"/>
              <w:bottom w:type="dxa" w:w="60"/>
              <w:right w:type="dxa" w:w="80"/>
            </w:tcMar>
          </w:tcPr>
          <w:p>
            <w:pPr>
              <w:jc w:val="center"/>
            </w:pPr>
            <w:r>
              <w:rPr>
                <w:b w:val="false"/>
                <w:bCs w:val="false"/>
                <w:sz w:val="19"/>
                <w:szCs w:val="19"/>
              </w:rPr>
              <w:t xml:space="preserve">288</w:t>
            </w:r>
          </w:p>
        </w:tc>
        <w:tc>
          <w:tcPr>
            <w:tcW w:type="dxa" w:w="1766"/>
            <w:tcMar>
              <w:top w:type="dxa" w:w="60"/>
              <w:left w:type="dxa" w:w="80"/>
              <w:bottom w:type="dxa" w:w="60"/>
              <w:right w:type="dxa" w:w="80"/>
            </w:tcMar>
          </w:tcPr>
          <w:p>
            <w:pPr>
              <w:jc w:val="center"/>
            </w:pPr>
            <w:r>
              <w:rPr>
                <w:b w:val="false"/>
                <w:bCs w:val="false"/>
                <w:sz w:val="19"/>
                <w:szCs w:val="19"/>
              </w:rPr>
              <w:t xml:space="preserve">288,3</w:t>
            </w:r>
          </w:p>
        </w:tc>
      </w:tr>
      <w:tr>
        <w:tc>
          <w:tcPr>
            <w:tcW w:type="dxa" w:w="1942"/>
            <w:tcMar>
              <w:top w:type="dxa" w:w="60"/>
              <w:left w:type="dxa" w:w="80"/>
              <w:bottom w:type="dxa" w:w="60"/>
              <w:right w:type="dxa" w:w="80"/>
            </w:tcMar>
          </w:tcPr>
          <w:p>
            <w:pPr>
              <w:jc w:val="left"/>
            </w:pPr>
            <w:r>
              <w:rPr>
                <w:b w:val="false"/>
                <w:bCs w:val="false"/>
                <w:sz w:val="19"/>
                <w:szCs w:val="19"/>
              </w:rPr>
              <w:t xml:space="preserve">Platino</w:t>
            </w:r>
          </w:p>
        </w:tc>
        <w:tc>
          <w:tcPr>
            <w:tcW w:type="dxa" w:w="2826"/>
            <w:tcMar>
              <w:top w:type="dxa" w:w="60"/>
              <w:left w:type="dxa" w:w="80"/>
              <w:bottom w:type="dxa" w:w="60"/>
              <w:right w:type="dxa" w:w="80"/>
            </w:tcMar>
          </w:tcPr>
          <w:p>
            <w:pPr>
              <w:jc w:val="center"/>
            </w:pPr>
            <w:r>
              <w:rPr>
                <w:b w:val="false"/>
                <w:bCs w:val="false"/>
                <w:sz w:val="19"/>
                <w:szCs w:val="19"/>
              </w:rPr>
              <w:t xml:space="preserve">185</w:t>
            </w:r>
          </w:p>
        </w:tc>
        <w:tc>
          <w:tcPr>
            <w:tcW w:type="dxa" w:w="2826"/>
            <w:tcMar>
              <w:top w:type="dxa" w:w="60"/>
              <w:left w:type="dxa" w:w="80"/>
              <w:bottom w:type="dxa" w:w="60"/>
              <w:right w:type="dxa" w:w="80"/>
            </w:tcMar>
          </w:tcPr>
          <w:p>
            <w:pPr>
              <w:jc w:val="center"/>
            </w:pPr>
            <w:r>
              <w:rPr>
                <w:b w:val="false"/>
                <w:bCs w:val="false"/>
                <w:sz w:val="19"/>
                <w:szCs w:val="19"/>
              </w:rPr>
              <w:t xml:space="preserve">196</w:t>
            </w:r>
          </w:p>
        </w:tc>
        <w:tc>
          <w:tcPr>
            <w:tcW w:type="dxa" w:w="1766"/>
            <w:tcMar>
              <w:top w:type="dxa" w:w="60"/>
              <w:left w:type="dxa" w:w="80"/>
              <w:bottom w:type="dxa" w:w="60"/>
              <w:right w:type="dxa" w:w="80"/>
            </w:tcMar>
          </w:tcPr>
          <w:p>
            <w:pPr>
              <w:jc w:val="center"/>
            </w:pPr>
            <w:r>
              <w:rPr>
                <w:b w:val="false"/>
                <w:bCs w:val="false"/>
                <w:sz w:val="19"/>
                <w:szCs w:val="19"/>
              </w:rPr>
              <w:t xml:space="preserve">196,8</w:t>
            </w:r>
          </w:p>
        </w:tc>
      </w:tr>
    </w:tbl>
    <w:p>
      <w:pPr>
        <w:spacing w:after="160"/>
        <w:jc w:val="center"/>
      </w:pPr>
      <w:r>
        <w:rPr>
          <w:i/>
          <w:iCs/>
          <w:sz w:val="20"/>
          <w:szCs w:val="20"/>
        </w:rPr>
        <w:t xml:space="preserve">Tabla 2. Longitud de onda crítica de cada material medida con los dos criterios, comparada con el valor que predice la teoría.</w:t>
      </w:r>
    </w:p>
    <w:p>
      <w:pPr>
        <w:spacing w:after="120" w:line="276"/>
        <w:jc w:val="both"/>
      </w:pPr>
      <w:r>
        <w:rPr>
          <w:b w:val="false"/>
          <w:bCs w:val="false"/>
          <w:i w:val="false"/>
          <w:iCs w:val="false"/>
          <w:sz w:val="22"/>
          <w:szCs w:val="22"/>
        </w:rPr>
        <w:t xml:space="preserve">Los dos criterios no dan lo mismo. Mirando el tubo, los electrones dejan de salir justo en la longitud de onda que predice la teoría: 539, 288 y 196 nm contra los 539,1, 288,3 y 196,8 nm que surgen de hc/φ₀, es decir dentro del nanómetro con que se puede ajustar la fuente. En cambio, el amperímetro deja de marcar bastante antes, entre un 6 y un 9 % por debajo. Esto pasa porque cerca de la longitud de onda crítica los electrones salen con muy poca energía y la corriente que generan es tan chica que el instrumento ya la muestra como cero, aunque los electrones se sigan viendo cruzar el tubo. Para las mediciones de potencial de frenado se tomó como punto de partida la λC del amperímetro, porque es el instrumento con el que después se decide si hay o no corriente.</w:t>
      </w:r>
    </w:p>
    <w:p>
      <w:pPr>
        <w:spacing w:after="80" w:before="180"/>
      </w:pPr>
      <w:r>
        <w:rPr>
          <w:b/>
          <w:bCs/>
          <w:sz w:val="23"/>
          <w:szCs w:val="23"/>
        </w:rPr>
        <w:t xml:space="preserve">Potencial de frenado en función de la longitud de onda</w:t>
      </w:r>
    </w:p>
    <w:p>
      <w:pPr>
        <w:spacing w:after="120" w:before="120"/>
        <w:jc w:val="center"/>
      </w:pPr>
      <w:r>
        <w:drawing>
          <wp:inline distT="0" distB="0" distL="0" distR="0">
            <wp:extent cx="4572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133725"/>
                    </a:xfrm>
                    <a:prstGeom prst="rect">
                      <a:avLst/>
                    </a:prstGeom>
                  </pic:spPr>
                </pic:pic>
              </a:graphicData>
            </a:graphic>
          </wp:inline>
        </w:drawing>
      </w:r>
    </w:p>
    <w:p>
      <w:pPr>
        <w:spacing w:after="160"/>
        <w:jc w:val="center"/>
      </w:pPr>
      <w:r>
        <w:rPr>
          <w:i/>
          <w:iCs/>
          <w:sz w:val="20"/>
          <w:szCs w:val="20"/>
        </w:rPr>
        <w:t xml:space="preserve">Gráfico 1. Potencial de frenado del sodio en función de 1/λ.</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El gráfico muestra el potencial de frenado del sodio para las veinte longitudes de onda medidas, que van de 478 a 288 nm. Los puntos se alinean muy bien sobre una recta, que es lo que predice la ecuación de Einstein: cuanto más corta es la longitud de onda, más energía trae cada fotón y más tensión hace falta para frenar a los electrones. La recta cruza el eje horizontal donde λ = λC, y donde cruza el eje vertical se lee −φ₀/e. Se ven dos series: en azul el potencial de frenado tomado como el voltaje con el que el amperímetro llega a cero, y en rojo el que se obtiene prolongando la recta de corriente contra voltaje. Las dos son paralelas pero están corridas, y la diferencia se nota más en las longitudes de onda largas, donde el potencial de frenado es chico.</w:t>
      </w:r>
    </w:p>
    <w:p>
      <w:pPr>
        <w:spacing w:after="120" w:before="120"/>
        <w:jc w:val="center"/>
      </w:pPr>
      <w:r>
        <w:drawing>
          <wp:inline distT="0" distB="0" distL="0" distR="0">
            <wp:extent cx="4572000" cy="3133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33725"/>
                    </a:xfrm>
                    <a:prstGeom prst="rect">
                      <a:avLst/>
                    </a:prstGeom>
                  </pic:spPr>
                </pic:pic>
              </a:graphicData>
            </a:graphic>
          </wp:inline>
        </w:drawing>
      </w:r>
    </w:p>
    <w:p>
      <w:pPr>
        <w:spacing w:after="160"/>
        <w:jc w:val="center"/>
      </w:pPr>
      <w:r>
        <w:rPr>
          <w:i/>
          <w:iCs/>
          <w:sz w:val="20"/>
          <w:szCs w:val="20"/>
        </w:rPr>
        <w:t xml:space="preserve">Gráfico 2. Potencial de frenado del zinc en función de 1/λ.</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El zinc se comporta igual que el sodio, pero en otro rango: como su función de trabajo es casi el doble, necesita luz mucho más energética y las dieciséis longitudes de onda medidas van de 258 a 108 nm, todas en el ultravioleta. Los potenciales de frenado llegan hasta 7,12 V, cerca del máximo de 8 V que entrega la fuente. Los puntos quedan alineados sobre la recta con R² = 0,9997 y las dos series están mucho más juntas que en el sodio, porque el rango de potenciales de frenado es más amplio.</w:t>
      </w:r>
    </w:p>
    <w:p>
      <w:pPr>
        <w:spacing w:after="120" w:before="120"/>
        <w:jc w:val="center"/>
      </w:pPr>
      <w:r>
        <w:drawing>
          <wp:inline distT="0" distB="0" distL="0" distR="0">
            <wp:extent cx="4572000" cy="3133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33725"/>
                    </a:xfrm>
                    <a:prstGeom prst="rect">
                      <a:avLst/>
                    </a:prstGeom>
                  </pic:spPr>
                </pic:pic>
              </a:graphicData>
            </a:graphic>
          </wp:inline>
        </w:drawing>
      </w:r>
    </w:p>
    <w:p>
      <w:pPr>
        <w:spacing w:after="160"/>
        <w:jc w:val="center"/>
      </w:pPr>
      <w:r>
        <w:rPr>
          <w:i/>
          <w:iCs/>
          <w:sz w:val="20"/>
          <w:szCs w:val="20"/>
        </w:rPr>
        <w:t xml:space="preserve">Gráfico 3. Potencial de frenado del platino en función de 1/λ.</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El platino es el material con mayor función de trabajo de los tres, así que es el que menos puntos permite medir: desde su λC de 185 nm hasta los 105 nm sólo entran ocho reducciones de 10 nm. Aun con pocos puntos la recta queda muy bien definida (R² = 0,9997). La ordenada al origen es la más negativa de las tres, como corresponde a un material al que cuesta más arrancarle electrones.</w:t>
      </w:r>
    </w:p>
    <w:p>
      <w:pPr>
        <w:spacing w:after="120" w:before="120"/>
        <w:jc w:val="center"/>
      </w:pPr>
      <w:r>
        <w:drawing>
          <wp:inline distT="0" distB="0" distL="0" distR="0">
            <wp:extent cx="4572000" cy="3048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60"/>
        <w:jc w:val="center"/>
      </w:pPr>
      <w:r>
        <w:rPr>
          <w:i/>
          <w:iCs/>
          <w:sz w:val="20"/>
          <w:szCs w:val="20"/>
        </w:rPr>
        <w:t xml:space="preserve">Gráfico 4. Potencial de frenado en función de 1/λ para los tres materiales.</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Este gráfico junta los tres materiales. Como la pendiente de la recta vale hc/e y ni h, ni c, ni e dependen del material, las tres rectas deberían ser paralelas y diferenciarse solamente en dónde cortan el eje, que es el punto donde λ = λC. Eso es justamente lo que se ve: el sodio corta primero, después el zinc y por último el platino, en el mismo orden en que crece la función de trabajo. Las rectas no salen perfectamente paralelas, y la que más se desvía es la del sodio, que es el material con el rango de medición más corto.</w:t>
      </w:r>
    </w:p>
    <w:p>
      <w:pPr>
        <w:spacing w:after="120" w:before="120"/>
        <w:jc w:val="center"/>
      </w:pPr>
      <w:r>
        <w:drawing>
          <wp:inline distT="0" distB="0" distL="0" distR="0">
            <wp:extent cx="428625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943225"/>
                    </a:xfrm>
                    <a:prstGeom prst="rect">
                      <a:avLst/>
                    </a:prstGeom>
                  </pic:spPr>
                </pic:pic>
              </a:graphicData>
            </a:graphic>
          </wp:inline>
        </w:drawing>
      </w:r>
    </w:p>
    <w:p>
      <w:pPr>
        <w:spacing w:after="160"/>
        <w:jc w:val="center"/>
      </w:pPr>
      <w:r>
        <w:rPr>
          <w:i/>
          <w:iCs/>
          <w:sz w:val="20"/>
          <w:szCs w:val="20"/>
        </w:rPr>
        <w:t xml:space="preserve">Gráfico 5. Corriente en función del voltaje para el sodio, en las veinte longitudes de onda medidas.</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Para cada longitud de onda se midió cómo cae la corriente a medida que se frena a los electrones. Todas las curvas son rectas y cada una llega a cero en su propio potencial de frenado: cuanto más corta es la longitud de onda, más a la izquierda corta y más empinada es la recta. Prolongando cada una hasta corriente cero se obtiene el potencial de frenado sin depender de dónde el instrumento deja de marcar, que es el segundo método. Se ve también por qué el método del corte falla más en las longitudes de onda largas: ahí las rectas son tan chatas que la corriente se vuelve muy chica mucho antes de llegar a cero.</w:t>
      </w:r>
    </w:p>
    <w:p>
      <w:pPr>
        <w:spacing w:after="120" w:before="120"/>
        <w:jc w:val="center"/>
      </w:pPr>
      <w:r>
        <w:drawing>
          <wp:inline distT="0" distB="0" distL="0" distR="0">
            <wp:extent cx="4286250" cy="2943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943225"/>
                    </a:xfrm>
                    <a:prstGeom prst="rect">
                      <a:avLst/>
                    </a:prstGeom>
                  </pic:spPr>
                </pic:pic>
              </a:graphicData>
            </a:graphic>
          </wp:inline>
        </w:drawing>
      </w:r>
    </w:p>
    <w:p>
      <w:pPr>
        <w:spacing w:after="160"/>
        <w:jc w:val="center"/>
      </w:pPr>
      <w:r>
        <w:rPr>
          <w:i/>
          <w:iCs/>
          <w:sz w:val="20"/>
          <w:szCs w:val="20"/>
        </w:rPr>
        <w:t xml:space="preserve">Gráfico 6. Corriente en función del voltaje para el platino.</w:t>
      </w:r>
    </w:p>
    <w:p>
      <w:pPr>
        <w:spacing w:after="120" w:line="276"/>
        <w:jc w:val="both"/>
      </w:pPr>
      <w:r>
        <w:rPr>
          <w:b/>
          <w:bCs/>
          <w:i w:val="false"/>
          <w:iCs w:val="false"/>
          <w:sz w:val="22"/>
          <w:szCs w:val="22"/>
        </w:rPr>
        <w:t xml:space="preserve">Observaciones:</w:t>
      </w:r>
    </w:p>
    <w:p>
      <w:pPr>
        <w:spacing w:after="120" w:line="276"/>
        <w:jc w:val="both"/>
      </w:pPr>
      <w:r>
        <w:rPr>
          <w:b w:val="false"/>
          <w:bCs w:val="false"/>
          <w:i w:val="false"/>
          <w:iCs w:val="false"/>
          <w:sz w:val="22"/>
          <w:szCs w:val="22"/>
        </w:rPr>
        <w:t xml:space="preserve">Se incluye el platino además del sodio porque es el único de los tres en el que aparece la saturación: en la curva de 105 nm, la de arriba, hay un tramo horizontal cerca de 0 V donde la corriente llega al máximo que puede mostrar la simulación y se aplana. Esos puntos no se usaron para ajustar la recta. El zinc es un caso intermedio entre los dos y su gráfico queda en la planilla adjunta.</w:t>
      </w:r>
    </w:p>
    <w:p>
      <w:r>
        <w:br w:type="page"/>
      </w:r>
    </w:p>
    <w:p>
      <w:pPr>
        <w:spacing w:after="80" w:before="180"/>
      </w:pPr>
      <w:r>
        <w:rPr>
          <w:b/>
          <w:bCs/>
          <w:sz w:val="23"/>
          <w:szCs w:val="23"/>
        </w:rPr>
        <w:t xml:space="preserve">Regresión numérica</w:t>
      </w:r>
    </w:p>
    <w:p>
      <w:pPr>
        <w:spacing w:after="120" w:line="276"/>
        <w:jc w:val="both"/>
      </w:pPr>
      <w:r>
        <w:rPr>
          <w:b w:val="false"/>
          <w:bCs w:val="false"/>
          <w:i w:val="false"/>
          <w:iCs w:val="false"/>
          <w:sz w:val="22"/>
          <w:szCs w:val="22"/>
        </w:rPr>
        <w:t xml:space="preserve">Sobre los pares (1/λ, Vf) de cada material se ajustó una recta por mínimos cuadrados, por separado para los dos métodos de medición del potencial de frenado. De la ordenada al origen se obtuvo la función de trabajo y de la pendiente, la constante de Planck.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2"/>
        <w:gridCol w:w="1944"/>
        <w:gridCol w:w="432"/>
        <w:gridCol w:w="1584"/>
        <w:gridCol w:w="1008"/>
        <w:gridCol w:w="1656"/>
        <w:gridCol w:w="864"/>
        <w:gridCol w:w="720"/>
      </w:tblGrid>
      <w:tr>
        <w:trPr>
          <w:tblHeader/>
        </w:trPr>
        <w:tc>
          <w:tcPr>
            <w:tcW w:type="dxa" w:w="1152"/>
            <w:shd w:fill="DDE7F3" w:color="auto" w:val="clear"/>
            <w:tcMar>
              <w:top w:type="dxa" w:w="60"/>
              <w:left w:type="dxa" w:w="80"/>
              <w:bottom w:type="dxa" w:w="60"/>
              <w:right w:type="dxa" w:w="80"/>
            </w:tcMar>
          </w:tcPr>
          <w:p>
            <w:pPr>
              <w:jc w:val="left"/>
            </w:pPr>
            <w:r>
              <w:rPr>
                <w:b/>
                <w:bCs/>
                <w:sz w:val="17"/>
                <w:szCs w:val="17"/>
              </w:rPr>
              <w:t xml:space="preserve">Material</w:t>
            </w:r>
          </w:p>
        </w:tc>
        <w:tc>
          <w:tcPr>
            <w:tcW w:type="dxa" w:w="1944"/>
            <w:shd w:fill="DDE7F3" w:color="auto" w:val="clear"/>
            <w:tcMar>
              <w:top w:type="dxa" w:w="60"/>
              <w:left w:type="dxa" w:w="80"/>
              <w:bottom w:type="dxa" w:w="60"/>
              <w:right w:type="dxa" w:w="80"/>
            </w:tcMar>
          </w:tcPr>
          <w:p>
            <w:pPr>
              <w:jc w:val="left"/>
            </w:pPr>
            <w:r>
              <w:rPr>
                <w:b/>
                <w:bCs/>
                <w:sz w:val="17"/>
                <w:szCs w:val="17"/>
              </w:rPr>
              <w:t xml:space="preserve">Método</w:t>
            </w:r>
          </w:p>
        </w:tc>
        <w:tc>
          <w:tcPr>
            <w:tcW w:type="dxa" w:w="432"/>
            <w:shd w:fill="DDE7F3" w:color="auto" w:val="clear"/>
            <w:tcMar>
              <w:top w:type="dxa" w:w="60"/>
              <w:left w:type="dxa" w:w="80"/>
              <w:bottom w:type="dxa" w:w="60"/>
              <w:right w:type="dxa" w:w="80"/>
            </w:tcMar>
          </w:tcPr>
          <w:p>
            <w:pPr>
              <w:jc w:val="center"/>
            </w:pPr>
            <w:r>
              <w:rPr>
                <w:b/>
                <w:bCs/>
                <w:sz w:val="17"/>
                <w:szCs w:val="17"/>
              </w:rPr>
              <w:t xml:space="preserve">n</w:t>
            </w:r>
          </w:p>
        </w:tc>
        <w:tc>
          <w:tcPr>
            <w:tcW w:type="dxa" w:w="1584"/>
            <w:shd w:fill="DDE7F3" w:color="auto" w:val="clear"/>
            <w:tcMar>
              <w:top w:type="dxa" w:w="60"/>
              <w:left w:type="dxa" w:w="80"/>
              <w:bottom w:type="dxa" w:w="60"/>
              <w:right w:type="dxa" w:w="80"/>
            </w:tcMar>
          </w:tcPr>
          <w:p>
            <w:pPr>
              <w:jc w:val="center"/>
            </w:pPr>
            <w:r>
              <w:rPr>
                <w:b/>
                <w:bCs/>
                <w:sz w:val="17"/>
                <w:szCs w:val="17"/>
              </w:rPr>
              <w:t xml:space="preserve">Pendiente (V·nm)</w:t>
            </w:r>
          </w:p>
        </w:tc>
        <w:tc>
          <w:tcPr>
            <w:tcW w:type="dxa" w:w="1008"/>
            <w:shd w:fill="DDE7F3" w:color="auto" w:val="clear"/>
            <w:tcMar>
              <w:top w:type="dxa" w:w="60"/>
              <w:left w:type="dxa" w:w="80"/>
              <w:bottom w:type="dxa" w:w="60"/>
              <w:right w:type="dxa" w:w="80"/>
            </w:tcMar>
          </w:tcPr>
          <w:p>
            <w:pPr>
              <w:jc w:val="center"/>
            </w:pPr>
            <w:r>
              <w:rPr>
                <w:b/>
                <w:bCs/>
                <w:sz w:val="17"/>
                <w:szCs w:val="17"/>
              </w:rPr>
              <w:t xml:space="preserve">R²</w:t>
            </w:r>
          </w:p>
        </w:tc>
        <w:tc>
          <w:tcPr>
            <w:tcW w:type="dxa" w:w="1656"/>
            <w:shd w:fill="DDE7F3" w:color="auto" w:val="clear"/>
            <w:tcMar>
              <w:top w:type="dxa" w:w="60"/>
              <w:left w:type="dxa" w:w="80"/>
              <w:bottom w:type="dxa" w:w="60"/>
              <w:right w:type="dxa" w:w="80"/>
            </w:tcMar>
          </w:tcPr>
          <w:p>
            <w:pPr>
              <w:jc w:val="center"/>
            </w:pPr>
            <w:r>
              <w:rPr>
                <w:b/>
                <w:bCs/>
                <w:sz w:val="17"/>
                <w:szCs w:val="17"/>
              </w:rPr>
              <w:t xml:space="preserve">φ₀ exp. (eV)</w:t>
            </w:r>
          </w:p>
        </w:tc>
        <w:tc>
          <w:tcPr>
            <w:tcW w:type="dxa" w:w="864"/>
            <w:shd w:fill="DDE7F3" w:color="auto" w:val="clear"/>
            <w:tcMar>
              <w:top w:type="dxa" w:w="60"/>
              <w:left w:type="dxa" w:w="80"/>
              <w:bottom w:type="dxa" w:w="60"/>
              <w:right w:type="dxa" w:w="80"/>
            </w:tcMar>
          </w:tcPr>
          <w:p>
            <w:pPr>
              <w:jc w:val="center"/>
            </w:pPr>
            <w:r>
              <w:rPr>
                <w:b/>
                <w:bCs/>
                <w:sz w:val="17"/>
                <w:szCs w:val="17"/>
              </w:rPr>
              <w:t xml:space="preserve">φ₀ lit. (eV)</w:t>
            </w:r>
          </w:p>
        </w:tc>
        <w:tc>
          <w:tcPr>
            <w:tcW w:type="dxa" w:w="720"/>
            <w:shd w:fill="DDE7F3" w:color="auto" w:val="clear"/>
            <w:tcMar>
              <w:top w:type="dxa" w:w="60"/>
              <w:left w:type="dxa" w:w="80"/>
              <w:bottom w:type="dxa" w:w="60"/>
              <w:right w:type="dxa" w:w="80"/>
            </w:tcMar>
          </w:tcPr>
          <w:p>
            <w:pPr>
              <w:jc w:val="center"/>
            </w:pPr>
            <w:r>
              <w:rPr>
                <w:b/>
                <w:bCs/>
                <w:sz w:val="17"/>
                <w:szCs w:val="17"/>
              </w:rPr>
              <w:t xml:space="preserve">Dif. (%)</w:t>
            </w:r>
          </w:p>
        </w:tc>
      </w:tr>
      <w:tr>
        <w:tc>
          <w:tcPr>
            <w:tcW w:type="dxa" w:w="1152"/>
            <w:tcMar>
              <w:top w:type="dxa" w:w="60"/>
              <w:left w:type="dxa" w:w="80"/>
              <w:bottom w:type="dxa" w:w="60"/>
              <w:right w:type="dxa" w:w="80"/>
            </w:tcMar>
          </w:tcPr>
          <w:p>
            <w:pPr>
              <w:jc w:val="left"/>
            </w:pPr>
            <w:r>
              <w:rPr>
                <w:b w:val="false"/>
                <w:bCs w:val="false"/>
                <w:sz w:val="17"/>
                <w:szCs w:val="17"/>
              </w:rPr>
              <w:t xml:space="preserve">Sodio</w:t>
            </w:r>
          </w:p>
        </w:tc>
        <w:tc>
          <w:tcPr>
            <w:tcW w:type="dxa" w:w="1944"/>
            <w:tcMar>
              <w:top w:type="dxa" w:w="60"/>
              <w:left w:type="dxa" w:w="80"/>
              <w:bottom w:type="dxa" w:w="60"/>
              <w:right w:type="dxa" w:w="80"/>
            </w:tcMar>
          </w:tcPr>
          <w:p>
            <w:pPr>
              <w:jc w:val="left"/>
            </w:pPr>
            <w:r>
              <w:rPr>
                <w:b w:val="false"/>
                <w:bCs w:val="false"/>
                <w:sz w:val="17"/>
                <w:szCs w:val="17"/>
              </w:rPr>
              <w:t xml:space="preserve">Corte del amperímetro</w:t>
            </w:r>
          </w:p>
        </w:tc>
        <w:tc>
          <w:tcPr>
            <w:tcW w:type="dxa" w:w="432"/>
            <w:tcMar>
              <w:top w:type="dxa" w:w="60"/>
              <w:left w:type="dxa" w:w="80"/>
              <w:bottom w:type="dxa" w:w="60"/>
              <w:right w:type="dxa" w:w="80"/>
            </w:tcMar>
          </w:tcPr>
          <w:p>
            <w:pPr>
              <w:jc w:val="center"/>
            </w:pPr>
            <w:r>
              <w:rPr>
                <w:b w:val="false"/>
                <w:bCs w:val="false"/>
                <w:sz w:val="17"/>
                <w:szCs w:val="17"/>
              </w:rPr>
              <w:t xml:space="preserve">20</w:t>
            </w:r>
          </w:p>
        </w:tc>
        <w:tc>
          <w:tcPr>
            <w:tcW w:type="dxa" w:w="1584"/>
            <w:tcMar>
              <w:top w:type="dxa" w:w="60"/>
              <w:left w:type="dxa" w:w="80"/>
              <w:bottom w:type="dxa" w:w="60"/>
              <w:right w:type="dxa" w:w="80"/>
            </w:tcMar>
          </w:tcPr>
          <w:p>
            <w:pPr>
              <w:jc w:val="center"/>
            </w:pPr>
            <w:r>
              <w:rPr>
                <w:b w:val="false"/>
                <w:bCs w:val="false"/>
                <w:sz w:val="17"/>
                <w:szCs w:val="17"/>
              </w:rPr>
              <w:t xml:space="preserve">1325,8 ± 11,4</w:t>
            </w:r>
          </w:p>
        </w:tc>
        <w:tc>
          <w:tcPr>
            <w:tcW w:type="dxa" w:w="1008"/>
            <w:tcMar>
              <w:top w:type="dxa" w:w="60"/>
              <w:left w:type="dxa" w:w="80"/>
              <w:bottom w:type="dxa" w:w="60"/>
              <w:right w:type="dxa" w:w="80"/>
            </w:tcMar>
          </w:tcPr>
          <w:p>
            <w:pPr>
              <w:jc w:val="center"/>
            </w:pPr>
            <w:r>
              <w:rPr>
                <w:b w:val="false"/>
                <w:bCs w:val="false"/>
                <w:sz w:val="17"/>
                <w:szCs w:val="17"/>
              </w:rPr>
              <w:t xml:space="preserve">0,99868</w:t>
            </w:r>
          </w:p>
        </w:tc>
        <w:tc>
          <w:tcPr>
            <w:tcW w:type="dxa" w:w="1656"/>
            <w:tcMar>
              <w:top w:type="dxa" w:w="60"/>
              <w:left w:type="dxa" w:w="80"/>
              <w:bottom w:type="dxa" w:w="60"/>
              <w:right w:type="dxa" w:w="80"/>
            </w:tcMar>
          </w:tcPr>
          <w:p>
            <w:pPr>
              <w:jc w:val="center"/>
            </w:pPr>
            <w:r>
              <w:rPr>
                <w:b w:val="false"/>
                <w:bCs w:val="false"/>
                <w:sz w:val="17"/>
                <w:szCs w:val="17"/>
              </w:rPr>
              <w:t xml:space="preserve">2,619 ± 0,031</w:t>
            </w:r>
          </w:p>
        </w:tc>
        <w:tc>
          <w:tcPr>
            <w:tcW w:type="dxa" w:w="864"/>
            <w:tcMar>
              <w:top w:type="dxa" w:w="60"/>
              <w:left w:type="dxa" w:w="80"/>
              <w:bottom w:type="dxa" w:w="60"/>
              <w:right w:type="dxa" w:w="80"/>
            </w:tcMar>
          </w:tcPr>
          <w:p>
            <w:pPr>
              <w:jc w:val="center"/>
            </w:pPr>
            <w:r>
              <w:rPr>
                <w:b w:val="false"/>
                <w:bCs w:val="false"/>
                <w:sz w:val="17"/>
                <w:szCs w:val="17"/>
              </w:rPr>
              <w:t xml:space="preserve">2,46</w:t>
            </w:r>
          </w:p>
        </w:tc>
        <w:tc>
          <w:tcPr>
            <w:tcW w:type="dxa" w:w="720"/>
            <w:tcMar>
              <w:top w:type="dxa" w:w="60"/>
              <w:left w:type="dxa" w:w="80"/>
              <w:bottom w:type="dxa" w:w="60"/>
              <w:right w:type="dxa" w:w="80"/>
            </w:tcMar>
          </w:tcPr>
          <w:p>
            <w:pPr>
              <w:jc w:val="center"/>
            </w:pPr>
            <w:r>
              <w:rPr>
                <w:b w:val="false"/>
                <w:bCs w:val="false"/>
                <w:sz w:val="17"/>
                <w:szCs w:val="17"/>
              </w:rPr>
              <w:t xml:space="preserve">+6,5</w:t>
            </w:r>
          </w:p>
        </w:tc>
      </w:tr>
      <w:tr>
        <w:tc>
          <w:tcPr>
            <w:tcW w:type="dxa" w:w="1152"/>
            <w:tcMar>
              <w:top w:type="dxa" w:w="60"/>
              <w:left w:type="dxa" w:w="80"/>
              <w:bottom w:type="dxa" w:w="60"/>
              <w:right w:type="dxa" w:w="80"/>
            </w:tcMar>
          </w:tcPr>
          <w:p>
            <w:pPr>
              <w:jc w:val="left"/>
            </w:pPr>
            <w:r>
              <w:rPr>
                <w:b w:val="false"/>
                <w:bCs w:val="false"/>
                <w:sz w:val="17"/>
                <w:szCs w:val="17"/>
              </w:rPr>
              <w:t xml:space="preserve">Sodio</w:t>
            </w:r>
          </w:p>
        </w:tc>
        <w:tc>
          <w:tcPr>
            <w:tcW w:type="dxa" w:w="1944"/>
            <w:tcMar>
              <w:top w:type="dxa" w:w="60"/>
              <w:left w:type="dxa" w:w="80"/>
              <w:bottom w:type="dxa" w:w="60"/>
              <w:right w:type="dxa" w:w="80"/>
            </w:tcMar>
          </w:tcPr>
          <w:p>
            <w:pPr>
              <w:jc w:val="left"/>
            </w:pPr>
            <w:r>
              <w:rPr>
                <w:b w:val="false"/>
                <w:bCs w:val="false"/>
                <w:sz w:val="17"/>
                <w:szCs w:val="17"/>
              </w:rPr>
              <w:t xml:space="preserve">Extrapolación</w:t>
            </w:r>
          </w:p>
        </w:tc>
        <w:tc>
          <w:tcPr>
            <w:tcW w:type="dxa" w:w="432"/>
            <w:tcMar>
              <w:top w:type="dxa" w:w="60"/>
              <w:left w:type="dxa" w:w="80"/>
              <w:bottom w:type="dxa" w:w="60"/>
              <w:right w:type="dxa" w:w="80"/>
            </w:tcMar>
          </w:tcPr>
          <w:p>
            <w:pPr>
              <w:jc w:val="center"/>
            </w:pPr>
            <w:r>
              <w:rPr>
                <w:b w:val="false"/>
                <w:bCs w:val="false"/>
                <w:sz w:val="17"/>
                <w:szCs w:val="17"/>
              </w:rPr>
              <w:t xml:space="preserve">20</w:t>
            </w:r>
          </w:p>
        </w:tc>
        <w:tc>
          <w:tcPr>
            <w:tcW w:type="dxa" w:w="1584"/>
            <w:tcMar>
              <w:top w:type="dxa" w:w="60"/>
              <w:left w:type="dxa" w:w="80"/>
              <w:bottom w:type="dxa" w:w="60"/>
              <w:right w:type="dxa" w:w="80"/>
            </w:tcMar>
          </w:tcPr>
          <w:p>
            <w:pPr>
              <w:jc w:val="center"/>
            </w:pPr>
            <w:r>
              <w:rPr>
                <w:b w:val="false"/>
                <w:bCs w:val="false"/>
                <w:sz w:val="17"/>
                <w:szCs w:val="17"/>
              </w:rPr>
              <w:t xml:space="preserve">1239,80 ± 0,54</w:t>
            </w:r>
          </w:p>
        </w:tc>
        <w:tc>
          <w:tcPr>
            <w:tcW w:type="dxa" w:w="1008"/>
            <w:tcMar>
              <w:top w:type="dxa" w:w="60"/>
              <w:left w:type="dxa" w:w="80"/>
              <w:bottom w:type="dxa" w:w="60"/>
              <w:right w:type="dxa" w:w="80"/>
            </w:tcMar>
          </w:tcPr>
          <w:p>
            <w:pPr>
              <w:jc w:val="center"/>
            </w:pPr>
            <w:r>
              <w:rPr>
                <w:b w:val="false"/>
                <w:bCs w:val="false"/>
                <w:sz w:val="17"/>
                <w:szCs w:val="17"/>
              </w:rPr>
              <w:t xml:space="preserve">1,00000</w:t>
            </w:r>
          </w:p>
        </w:tc>
        <w:tc>
          <w:tcPr>
            <w:tcW w:type="dxa" w:w="1656"/>
            <w:tcMar>
              <w:top w:type="dxa" w:w="60"/>
              <w:left w:type="dxa" w:w="80"/>
              <w:bottom w:type="dxa" w:w="60"/>
              <w:right w:type="dxa" w:w="80"/>
            </w:tcMar>
          </w:tcPr>
          <w:p>
            <w:pPr>
              <w:jc w:val="center"/>
            </w:pPr>
            <w:r>
              <w:rPr>
                <w:b w:val="false"/>
                <w:bCs w:val="false"/>
                <w:sz w:val="17"/>
                <w:szCs w:val="17"/>
              </w:rPr>
              <w:t xml:space="preserve">2,3000 ± 0,0015</w:t>
            </w:r>
          </w:p>
        </w:tc>
        <w:tc>
          <w:tcPr>
            <w:tcW w:type="dxa" w:w="864"/>
            <w:tcMar>
              <w:top w:type="dxa" w:w="60"/>
              <w:left w:type="dxa" w:w="80"/>
              <w:bottom w:type="dxa" w:w="60"/>
              <w:right w:type="dxa" w:w="80"/>
            </w:tcMar>
          </w:tcPr>
          <w:p>
            <w:pPr>
              <w:jc w:val="center"/>
            </w:pPr>
            <w:r>
              <w:rPr>
                <w:b w:val="false"/>
                <w:bCs w:val="false"/>
                <w:sz w:val="17"/>
                <w:szCs w:val="17"/>
              </w:rPr>
              <w:t xml:space="preserve">2,46</w:t>
            </w:r>
          </w:p>
        </w:tc>
        <w:tc>
          <w:tcPr>
            <w:tcW w:type="dxa" w:w="720"/>
            <w:tcMar>
              <w:top w:type="dxa" w:w="60"/>
              <w:left w:type="dxa" w:w="80"/>
              <w:bottom w:type="dxa" w:w="60"/>
              <w:right w:type="dxa" w:w="80"/>
            </w:tcMar>
          </w:tcPr>
          <w:p>
            <w:pPr>
              <w:jc w:val="center"/>
            </w:pPr>
            <w:r>
              <w:rPr>
                <w:b w:val="false"/>
                <w:bCs w:val="false"/>
                <w:sz w:val="17"/>
                <w:szCs w:val="17"/>
              </w:rPr>
              <w:t xml:space="preserve">−6,5</w:t>
            </w:r>
          </w:p>
        </w:tc>
      </w:tr>
      <w:tr>
        <w:tc>
          <w:tcPr>
            <w:tcW w:type="dxa" w:w="1152"/>
            <w:tcMar>
              <w:top w:type="dxa" w:w="60"/>
              <w:left w:type="dxa" w:w="80"/>
              <w:bottom w:type="dxa" w:w="60"/>
              <w:right w:type="dxa" w:w="80"/>
            </w:tcMar>
          </w:tcPr>
          <w:p>
            <w:pPr>
              <w:jc w:val="left"/>
            </w:pPr>
            <w:r>
              <w:rPr>
                <w:b w:val="false"/>
                <w:bCs w:val="false"/>
                <w:sz w:val="17"/>
                <w:szCs w:val="17"/>
              </w:rPr>
              <w:t xml:space="preserve">Zinc</w:t>
            </w:r>
          </w:p>
        </w:tc>
        <w:tc>
          <w:tcPr>
            <w:tcW w:type="dxa" w:w="1944"/>
            <w:tcMar>
              <w:top w:type="dxa" w:w="60"/>
              <w:left w:type="dxa" w:w="80"/>
              <w:bottom w:type="dxa" w:w="60"/>
              <w:right w:type="dxa" w:w="80"/>
            </w:tcMar>
          </w:tcPr>
          <w:p>
            <w:pPr>
              <w:jc w:val="left"/>
            </w:pPr>
            <w:r>
              <w:rPr>
                <w:b w:val="false"/>
                <w:bCs w:val="false"/>
                <w:sz w:val="17"/>
                <w:szCs w:val="17"/>
              </w:rPr>
              <w:t xml:space="preserve">Corte del amperímetro</w:t>
            </w:r>
          </w:p>
        </w:tc>
        <w:tc>
          <w:tcPr>
            <w:tcW w:type="dxa" w:w="432"/>
            <w:tcMar>
              <w:top w:type="dxa" w:w="60"/>
              <w:left w:type="dxa" w:w="80"/>
              <w:bottom w:type="dxa" w:w="60"/>
              <w:right w:type="dxa" w:w="80"/>
            </w:tcMar>
          </w:tcPr>
          <w:p>
            <w:pPr>
              <w:jc w:val="center"/>
            </w:pPr>
            <w:r>
              <w:rPr>
                <w:b w:val="false"/>
                <w:bCs w:val="false"/>
                <w:sz w:val="17"/>
                <w:szCs w:val="17"/>
              </w:rPr>
              <w:t xml:space="preserve">16</w:t>
            </w:r>
          </w:p>
        </w:tc>
        <w:tc>
          <w:tcPr>
            <w:tcW w:type="dxa" w:w="1584"/>
            <w:tcMar>
              <w:top w:type="dxa" w:w="60"/>
              <w:left w:type="dxa" w:w="80"/>
              <w:bottom w:type="dxa" w:w="60"/>
              <w:right w:type="dxa" w:w="80"/>
            </w:tcMar>
          </w:tcPr>
          <w:p>
            <w:pPr>
              <w:jc w:val="center"/>
            </w:pPr>
            <w:r>
              <w:rPr>
                <w:b w:val="false"/>
                <w:bCs w:val="false"/>
                <w:sz w:val="17"/>
                <w:szCs w:val="17"/>
              </w:rPr>
              <w:t xml:space="preserve">1258,3 ± 5,5</w:t>
            </w:r>
          </w:p>
        </w:tc>
        <w:tc>
          <w:tcPr>
            <w:tcW w:type="dxa" w:w="1008"/>
            <w:tcMar>
              <w:top w:type="dxa" w:w="60"/>
              <w:left w:type="dxa" w:w="80"/>
              <w:bottom w:type="dxa" w:w="60"/>
              <w:right w:type="dxa" w:w="80"/>
            </w:tcMar>
          </w:tcPr>
          <w:p>
            <w:pPr>
              <w:jc w:val="center"/>
            </w:pPr>
            <w:r>
              <w:rPr>
                <w:b w:val="false"/>
                <w:bCs w:val="false"/>
                <w:sz w:val="17"/>
                <w:szCs w:val="17"/>
              </w:rPr>
              <w:t xml:space="preserve">0,99973</w:t>
            </w:r>
          </w:p>
        </w:tc>
        <w:tc>
          <w:tcPr>
            <w:tcW w:type="dxa" w:w="1656"/>
            <w:tcMar>
              <w:top w:type="dxa" w:w="60"/>
              <w:left w:type="dxa" w:w="80"/>
              <w:bottom w:type="dxa" w:w="60"/>
              <w:right w:type="dxa" w:w="80"/>
            </w:tcMar>
          </w:tcPr>
          <w:p>
            <w:pPr>
              <w:jc w:val="center"/>
            </w:pPr>
            <w:r>
              <w:rPr>
                <w:b w:val="false"/>
                <w:bCs w:val="false"/>
                <w:sz w:val="17"/>
                <w:szCs w:val="17"/>
              </w:rPr>
              <w:t xml:space="preserve">4,490 ± 0,034</w:t>
            </w:r>
          </w:p>
        </w:tc>
        <w:tc>
          <w:tcPr>
            <w:tcW w:type="dxa" w:w="864"/>
            <w:tcMar>
              <w:top w:type="dxa" w:w="60"/>
              <w:left w:type="dxa" w:w="80"/>
              <w:bottom w:type="dxa" w:w="60"/>
              <w:right w:type="dxa" w:w="80"/>
            </w:tcMar>
          </w:tcPr>
          <w:p>
            <w:pPr>
              <w:jc w:val="center"/>
            </w:pPr>
            <w:r>
              <w:rPr>
                <w:b w:val="false"/>
                <w:bCs w:val="false"/>
                <w:sz w:val="17"/>
                <w:szCs w:val="17"/>
              </w:rPr>
              <w:t xml:space="preserve">4,31</w:t>
            </w:r>
          </w:p>
        </w:tc>
        <w:tc>
          <w:tcPr>
            <w:tcW w:type="dxa" w:w="720"/>
            <w:tcMar>
              <w:top w:type="dxa" w:w="60"/>
              <w:left w:type="dxa" w:w="80"/>
              <w:bottom w:type="dxa" w:w="60"/>
              <w:right w:type="dxa" w:w="80"/>
            </w:tcMar>
          </w:tcPr>
          <w:p>
            <w:pPr>
              <w:jc w:val="center"/>
            </w:pPr>
            <w:r>
              <w:rPr>
                <w:b w:val="false"/>
                <w:bCs w:val="false"/>
                <w:sz w:val="17"/>
                <w:szCs w:val="17"/>
              </w:rPr>
              <w:t xml:space="preserve">+4,2</w:t>
            </w:r>
          </w:p>
        </w:tc>
      </w:tr>
      <w:tr>
        <w:tc>
          <w:tcPr>
            <w:tcW w:type="dxa" w:w="1152"/>
            <w:tcMar>
              <w:top w:type="dxa" w:w="60"/>
              <w:left w:type="dxa" w:w="80"/>
              <w:bottom w:type="dxa" w:w="60"/>
              <w:right w:type="dxa" w:w="80"/>
            </w:tcMar>
          </w:tcPr>
          <w:p>
            <w:pPr>
              <w:jc w:val="left"/>
            </w:pPr>
            <w:r>
              <w:rPr>
                <w:b w:val="false"/>
                <w:bCs w:val="false"/>
                <w:sz w:val="17"/>
                <w:szCs w:val="17"/>
              </w:rPr>
              <w:t xml:space="preserve">Zinc</w:t>
            </w:r>
          </w:p>
        </w:tc>
        <w:tc>
          <w:tcPr>
            <w:tcW w:type="dxa" w:w="1944"/>
            <w:tcMar>
              <w:top w:type="dxa" w:w="60"/>
              <w:left w:type="dxa" w:w="80"/>
              <w:bottom w:type="dxa" w:w="60"/>
              <w:right w:type="dxa" w:w="80"/>
            </w:tcMar>
          </w:tcPr>
          <w:p>
            <w:pPr>
              <w:jc w:val="left"/>
            </w:pPr>
            <w:r>
              <w:rPr>
                <w:b w:val="false"/>
                <w:bCs w:val="false"/>
                <w:sz w:val="17"/>
                <w:szCs w:val="17"/>
              </w:rPr>
              <w:t xml:space="preserve">Extrapolación</w:t>
            </w:r>
          </w:p>
        </w:tc>
        <w:tc>
          <w:tcPr>
            <w:tcW w:type="dxa" w:w="432"/>
            <w:tcMar>
              <w:top w:type="dxa" w:w="60"/>
              <w:left w:type="dxa" w:w="80"/>
              <w:bottom w:type="dxa" w:w="60"/>
              <w:right w:type="dxa" w:w="80"/>
            </w:tcMar>
          </w:tcPr>
          <w:p>
            <w:pPr>
              <w:jc w:val="center"/>
            </w:pPr>
            <w:r>
              <w:rPr>
                <w:b w:val="false"/>
                <w:bCs w:val="false"/>
                <w:sz w:val="17"/>
                <w:szCs w:val="17"/>
              </w:rPr>
              <w:t xml:space="preserve">16</w:t>
            </w:r>
          </w:p>
        </w:tc>
        <w:tc>
          <w:tcPr>
            <w:tcW w:type="dxa" w:w="1584"/>
            <w:tcMar>
              <w:top w:type="dxa" w:w="60"/>
              <w:left w:type="dxa" w:w="80"/>
              <w:bottom w:type="dxa" w:w="60"/>
              <w:right w:type="dxa" w:w="80"/>
            </w:tcMar>
          </w:tcPr>
          <w:p>
            <w:pPr>
              <w:jc w:val="center"/>
            </w:pPr>
            <w:r>
              <w:rPr>
                <w:b w:val="false"/>
                <w:bCs w:val="false"/>
                <w:sz w:val="17"/>
                <w:szCs w:val="17"/>
              </w:rPr>
              <w:t xml:space="preserve">1239,80 ± 0,16</w:t>
            </w:r>
          </w:p>
        </w:tc>
        <w:tc>
          <w:tcPr>
            <w:tcW w:type="dxa" w:w="1008"/>
            <w:tcMar>
              <w:top w:type="dxa" w:w="60"/>
              <w:left w:type="dxa" w:w="80"/>
              <w:bottom w:type="dxa" w:w="60"/>
              <w:right w:type="dxa" w:w="80"/>
            </w:tcMar>
          </w:tcPr>
          <w:p>
            <w:pPr>
              <w:jc w:val="center"/>
            </w:pPr>
            <w:r>
              <w:rPr>
                <w:b w:val="false"/>
                <w:bCs w:val="false"/>
                <w:sz w:val="17"/>
                <w:szCs w:val="17"/>
              </w:rPr>
              <w:t xml:space="preserve">1,00000</w:t>
            </w:r>
          </w:p>
        </w:tc>
        <w:tc>
          <w:tcPr>
            <w:tcW w:type="dxa" w:w="1656"/>
            <w:tcMar>
              <w:top w:type="dxa" w:w="60"/>
              <w:left w:type="dxa" w:w="80"/>
              <w:bottom w:type="dxa" w:w="60"/>
              <w:right w:type="dxa" w:w="80"/>
            </w:tcMar>
          </w:tcPr>
          <w:p>
            <w:pPr>
              <w:jc w:val="center"/>
            </w:pPr>
            <w:r>
              <w:rPr>
                <w:b w:val="false"/>
                <w:bCs w:val="false"/>
                <w:sz w:val="17"/>
                <w:szCs w:val="17"/>
              </w:rPr>
              <w:t xml:space="preserve">4,3000 ± 0,0009</w:t>
            </w:r>
          </w:p>
        </w:tc>
        <w:tc>
          <w:tcPr>
            <w:tcW w:type="dxa" w:w="864"/>
            <w:tcMar>
              <w:top w:type="dxa" w:w="60"/>
              <w:left w:type="dxa" w:w="80"/>
              <w:bottom w:type="dxa" w:w="60"/>
              <w:right w:type="dxa" w:w="80"/>
            </w:tcMar>
          </w:tcPr>
          <w:p>
            <w:pPr>
              <w:jc w:val="center"/>
            </w:pPr>
            <w:r>
              <w:rPr>
                <w:b w:val="false"/>
                <w:bCs w:val="false"/>
                <w:sz w:val="17"/>
                <w:szCs w:val="17"/>
              </w:rPr>
              <w:t xml:space="preserve">4,31</w:t>
            </w:r>
          </w:p>
        </w:tc>
        <w:tc>
          <w:tcPr>
            <w:tcW w:type="dxa" w:w="720"/>
            <w:tcMar>
              <w:top w:type="dxa" w:w="60"/>
              <w:left w:type="dxa" w:w="80"/>
              <w:bottom w:type="dxa" w:w="60"/>
              <w:right w:type="dxa" w:w="80"/>
            </w:tcMar>
          </w:tcPr>
          <w:p>
            <w:pPr>
              <w:jc w:val="center"/>
            </w:pPr>
            <w:r>
              <w:rPr>
                <w:b w:val="false"/>
                <w:bCs w:val="false"/>
                <w:sz w:val="17"/>
                <w:szCs w:val="17"/>
              </w:rPr>
              <w:t xml:space="preserve">−0,2</w:t>
            </w:r>
          </w:p>
        </w:tc>
      </w:tr>
      <w:tr>
        <w:tc>
          <w:tcPr>
            <w:tcW w:type="dxa" w:w="1152"/>
            <w:tcMar>
              <w:top w:type="dxa" w:w="60"/>
              <w:left w:type="dxa" w:w="80"/>
              <w:bottom w:type="dxa" w:w="60"/>
              <w:right w:type="dxa" w:w="80"/>
            </w:tcMar>
          </w:tcPr>
          <w:p>
            <w:pPr>
              <w:jc w:val="left"/>
            </w:pPr>
            <w:r>
              <w:rPr>
                <w:b w:val="false"/>
                <w:bCs w:val="false"/>
                <w:sz w:val="17"/>
                <w:szCs w:val="17"/>
              </w:rPr>
              <w:t xml:space="preserve">Platino</w:t>
            </w:r>
          </w:p>
        </w:tc>
        <w:tc>
          <w:tcPr>
            <w:tcW w:type="dxa" w:w="1944"/>
            <w:tcMar>
              <w:top w:type="dxa" w:w="60"/>
              <w:left w:type="dxa" w:w="80"/>
              <w:bottom w:type="dxa" w:w="60"/>
              <w:right w:type="dxa" w:w="80"/>
            </w:tcMar>
          </w:tcPr>
          <w:p>
            <w:pPr>
              <w:jc w:val="left"/>
            </w:pPr>
            <w:r>
              <w:rPr>
                <w:b w:val="false"/>
                <w:bCs w:val="false"/>
                <w:sz w:val="17"/>
                <w:szCs w:val="17"/>
              </w:rPr>
              <w:t xml:space="preserve">Corte del amperímetro</w:t>
            </w:r>
          </w:p>
        </w:tc>
        <w:tc>
          <w:tcPr>
            <w:tcW w:type="dxa" w:w="432"/>
            <w:tcMar>
              <w:top w:type="dxa" w:w="60"/>
              <w:left w:type="dxa" w:w="80"/>
              <w:bottom w:type="dxa" w:w="60"/>
              <w:right w:type="dxa" w:w="80"/>
            </w:tcMar>
          </w:tcPr>
          <w:p>
            <w:pPr>
              <w:jc w:val="center"/>
            </w:pPr>
            <w:r>
              <w:rPr>
                <w:b w:val="false"/>
                <w:bCs w:val="false"/>
                <w:sz w:val="17"/>
                <w:szCs w:val="17"/>
              </w:rPr>
              <w:t xml:space="preserve">8</w:t>
            </w:r>
          </w:p>
        </w:tc>
        <w:tc>
          <w:tcPr>
            <w:tcW w:type="dxa" w:w="1584"/>
            <w:tcMar>
              <w:top w:type="dxa" w:w="60"/>
              <w:left w:type="dxa" w:w="80"/>
              <w:bottom w:type="dxa" w:w="60"/>
              <w:right w:type="dxa" w:w="80"/>
            </w:tcMar>
          </w:tcPr>
          <w:p>
            <w:pPr>
              <w:jc w:val="center"/>
            </w:pPr>
            <w:r>
              <w:rPr>
                <w:b w:val="false"/>
                <w:bCs w:val="false"/>
                <w:sz w:val="17"/>
                <w:szCs w:val="17"/>
              </w:rPr>
              <w:t xml:space="preserve">1269,1 ± 8,9</w:t>
            </w:r>
          </w:p>
        </w:tc>
        <w:tc>
          <w:tcPr>
            <w:tcW w:type="dxa" w:w="1008"/>
            <w:tcMar>
              <w:top w:type="dxa" w:w="60"/>
              <w:left w:type="dxa" w:w="80"/>
              <w:bottom w:type="dxa" w:w="60"/>
              <w:right w:type="dxa" w:w="80"/>
            </w:tcMar>
          </w:tcPr>
          <w:p>
            <w:pPr>
              <w:jc w:val="center"/>
            </w:pPr>
            <w:r>
              <w:rPr>
                <w:b w:val="false"/>
                <w:bCs w:val="false"/>
                <w:sz w:val="17"/>
                <w:szCs w:val="17"/>
              </w:rPr>
              <w:t xml:space="preserve">0,99970</w:t>
            </w:r>
          </w:p>
        </w:tc>
        <w:tc>
          <w:tcPr>
            <w:tcW w:type="dxa" w:w="1656"/>
            <w:tcMar>
              <w:top w:type="dxa" w:w="60"/>
              <w:left w:type="dxa" w:w="80"/>
              <w:bottom w:type="dxa" w:w="60"/>
              <w:right w:type="dxa" w:w="80"/>
            </w:tcMar>
          </w:tcPr>
          <w:p>
            <w:pPr>
              <w:jc w:val="center"/>
            </w:pPr>
            <w:r>
              <w:rPr>
                <w:b w:val="false"/>
                <w:bCs w:val="false"/>
                <w:sz w:val="17"/>
                <w:szCs w:val="17"/>
              </w:rPr>
              <w:t xml:space="preserve">6,612 ± 0,067</w:t>
            </w:r>
          </w:p>
        </w:tc>
        <w:tc>
          <w:tcPr>
            <w:tcW w:type="dxa" w:w="864"/>
            <w:tcMar>
              <w:top w:type="dxa" w:w="60"/>
              <w:left w:type="dxa" w:w="80"/>
              <w:bottom w:type="dxa" w:w="60"/>
              <w:right w:type="dxa" w:w="80"/>
            </w:tcMar>
          </w:tcPr>
          <w:p>
            <w:pPr>
              <w:jc w:val="center"/>
            </w:pPr>
            <w:r>
              <w:rPr>
                <w:b w:val="false"/>
                <w:bCs w:val="false"/>
                <w:sz w:val="17"/>
                <w:szCs w:val="17"/>
              </w:rPr>
              <w:t xml:space="preserve">6,35</w:t>
            </w:r>
          </w:p>
        </w:tc>
        <w:tc>
          <w:tcPr>
            <w:tcW w:type="dxa" w:w="720"/>
            <w:tcMar>
              <w:top w:type="dxa" w:w="60"/>
              <w:left w:type="dxa" w:w="80"/>
              <w:bottom w:type="dxa" w:w="60"/>
              <w:right w:type="dxa" w:w="80"/>
            </w:tcMar>
          </w:tcPr>
          <w:p>
            <w:pPr>
              <w:jc w:val="center"/>
            </w:pPr>
            <w:r>
              <w:rPr>
                <w:b w:val="false"/>
                <w:bCs w:val="false"/>
                <w:sz w:val="17"/>
                <w:szCs w:val="17"/>
              </w:rPr>
              <w:t xml:space="preserve">+4,1</w:t>
            </w:r>
          </w:p>
        </w:tc>
      </w:tr>
      <w:tr>
        <w:tc>
          <w:tcPr>
            <w:tcW w:type="dxa" w:w="1152"/>
            <w:tcMar>
              <w:top w:type="dxa" w:w="60"/>
              <w:left w:type="dxa" w:w="80"/>
              <w:bottom w:type="dxa" w:w="60"/>
              <w:right w:type="dxa" w:w="80"/>
            </w:tcMar>
          </w:tcPr>
          <w:p>
            <w:pPr>
              <w:jc w:val="left"/>
            </w:pPr>
            <w:r>
              <w:rPr>
                <w:b w:val="false"/>
                <w:bCs w:val="false"/>
                <w:sz w:val="17"/>
                <w:szCs w:val="17"/>
              </w:rPr>
              <w:t xml:space="preserve">Platino</w:t>
            </w:r>
          </w:p>
        </w:tc>
        <w:tc>
          <w:tcPr>
            <w:tcW w:type="dxa" w:w="1944"/>
            <w:tcMar>
              <w:top w:type="dxa" w:w="60"/>
              <w:left w:type="dxa" w:w="80"/>
              <w:bottom w:type="dxa" w:w="60"/>
              <w:right w:type="dxa" w:w="80"/>
            </w:tcMar>
          </w:tcPr>
          <w:p>
            <w:pPr>
              <w:jc w:val="left"/>
            </w:pPr>
            <w:r>
              <w:rPr>
                <w:b w:val="false"/>
                <w:bCs w:val="false"/>
                <w:sz w:val="17"/>
                <w:szCs w:val="17"/>
              </w:rPr>
              <w:t xml:space="preserve">Extrapolación</w:t>
            </w:r>
          </w:p>
        </w:tc>
        <w:tc>
          <w:tcPr>
            <w:tcW w:type="dxa" w:w="432"/>
            <w:tcMar>
              <w:top w:type="dxa" w:w="60"/>
              <w:left w:type="dxa" w:w="80"/>
              <w:bottom w:type="dxa" w:w="60"/>
              <w:right w:type="dxa" w:w="80"/>
            </w:tcMar>
          </w:tcPr>
          <w:p>
            <w:pPr>
              <w:jc w:val="center"/>
            </w:pPr>
            <w:r>
              <w:rPr>
                <w:b w:val="false"/>
                <w:bCs w:val="false"/>
                <w:sz w:val="17"/>
                <w:szCs w:val="17"/>
              </w:rPr>
              <w:t xml:space="preserve">8</w:t>
            </w:r>
          </w:p>
        </w:tc>
        <w:tc>
          <w:tcPr>
            <w:tcW w:type="dxa" w:w="1584"/>
            <w:tcMar>
              <w:top w:type="dxa" w:w="60"/>
              <w:left w:type="dxa" w:w="80"/>
              <w:bottom w:type="dxa" w:w="60"/>
              <w:right w:type="dxa" w:w="80"/>
            </w:tcMar>
          </w:tcPr>
          <w:p>
            <w:pPr>
              <w:jc w:val="center"/>
            </w:pPr>
            <w:r>
              <w:rPr>
                <w:b w:val="false"/>
                <w:bCs w:val="false"/>
                <w:sz w:val="17"/>
                <w:szCs w:val="17"/>
              </w:rPr>
              <w:t xml:space="preserve">1239,80 ± 0,29</w:t>
            </w:r>
          </w:p>
        </w:tc>
        <w:tc>
          <w:tcPr>
            <w:tcW w:type="dxa" w:w="1008"/>
            <w:tcMar>
              <w:top w:type="dxa" w:w="60"/>
              <w:left w:type="dxa" w:w="80"/>
              <w:bottom w:type="dxa" w:w="60"/>
              <w:right w:type="dxa" w:w="80"/>
            </w:tcMar>
          </w:tcPr>
          <w:p>
            <w:pPr>
              <w:jc w:val="center"/>
            </w:pPr>
            <w:r>
              <w:rPr>
                <w:b w:val="false"/>
                <w:bCs w:val="false"/>
                <w:sz w:val="17"/>
                <w:szCs w:val="17"/>
              </w:rPr>
              <w:t xml:space="preserve">1,00000</w:t>
            </w:r>
          </w:p>
        </w:tc>
        <w:tc>
          <w:tcPr>
            <w:tcW w:type="dxa" w:w="1656"/>
            <w:tcMar>
              <w:top w:type="dxa" w:w="60"/>
              <w:left w:type="dxa" w:w="80"/>
              <w:bottom w:type="dxa" w:w="60"/>
              <w:right w:type="dxa" w:w="80"/>
            </w:tcMar>
          </w:tcPr>
          <w:p>
            <w:pPr>
              <w:jc w:val="center"/>
            </w:pPr>
            <w:r>
              <w:rPr>
                <w:b w:val="false"/>
                <w:bCs w:val="false"/>
                <w:sz w:val="17"/>
                <w:szCs w:val="17"/>
              </w:rPr>
              <w:t xml:space="preserve">6,3000 ± 0,0021</w:t>
            </w:r>
          </w:p>
        </w:tc>
        <w:tc>
          <w:tcPr>
            <w:tcW w:type="dxa" w:w="864"/>
            <w:tcMar>
              <w:top w:type="dxa" w:w="60"/>
              <w:left w:type="dxa" w:w="80"/>
              <w:bottom w:type="dxa" w:w="60"/>
              <w:right w:type="dxa" w:w="80"/>
            </w:tcMar>
          </w:tcPr>
          <w:p>
            <w:pPr>
              <w:jc w:val="center"/>
            </w:pPr>
            <w:r>
              <w:rPr>
                <w:b w:val="false"/>
                <w:bCs w:val="false"/>
                <w:sz w:val="17"/>
                <w:szCs w:val="17"/>
              </w:rPr>
              <w:t xml:space="preserve">6,35</w:t>
            </w:r>
          </w:p>
        </w:tc>
        <w:tc>
          <w:tcPr>
            <w:tcW w:type="dxa" w:w="720"/>
            <w:tcMar>
              <w:top w:type="dxa" w:w="60"/>
              <w:left w:type="dxa" w:w="80"/>
              <w:bottom w:type="dxa" w:w="60"/>
              <w:right w:type="dxa" w:w="80"/>
            </w:tcMar>
          </w:tcPr>
          <w:p>
            <w:pPr>
              <w:jc w:val="center"/>
            </w:pPr>
            <w:r>
              <w:rPr>
                <w:b w:val="false"/>
                <w:bCs w:val="false"/>
                <w:sz w:val="17"/>
                <w:szCs w:val="17"/>
              </w:rPr>
              <w:t xml:space="preserve">−0,8</w:t>
            </w:r>
          </w:p>
        </w:tc>
      </w:tr>
    </w:tbl>
    <w:p>
      <w:pPr>
        <w:spacing w:after="160"/>
        <w:jc w:val="center"/>
      </w:pPr>
      <w:r>
        <w:rPr>
          <w:i/>
          <w:iCs/>
          <w:sz w:val="20"/>
          <w:szCs w:val="20"/>
        </w:rPr>
        <w:t xml:space="preserve">Tabla 3. Función de trabajo obtenida por los dos métodos y diferencia relativa porcentual respecto del valor de literatura. Las incertezas combinan la dispersión del ajuste con la propagación de δVf = 0,001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5"/>
        <w:gridCol w:w="2823"/>
        <w:gridCol w:w="2674"/>
        <w:gridCol w:w="1189"/>
        <w:gridCol w:w="1189"/>
      </w:tblGrid>
      <w:tr>
        <w:trPr>
          <w:tblHeader/>
        </w:trPr>
        <w:tc>
          <w:tcPr>
            <w:tcW w:type="dxa" w:w="1485"/>
            <w:shd w:fill="DDE7F3" w:color="auto" w:val="clear"/>
            <w:tcMar>
              <w:top w:type="dxa" w:w="60"/>
              <w:left w:type="dxa" w:w="80"/>
              <w:bottom w:type="dxa" w:w="60"/>
              <w:right w:type="dxa" w:w="80"/>
            </w:tcMar>
          </w:tcPr>
          <w:p>
            <w:pPr>
              <w:jc w:val="left"/>
            </w:pPr>
            <w:r>
              <w:rPr>
                <w:b/>
                <w:bCs/>
                <w:sz w:val="19"/>
                <w:szCs w:val="19"/>
              </w:rPr>
              <w:t xml:space="preserve">Material</w:t>
            </w:r>
          </w:p>
        </w:tc>
        <w:tc>
          <w:tcPr>
            <w:tcW w:type="dxa" w:w="2823"/>
            <w:shd w:fill="DDE7F3" w:color="auto" w:val="clear"/>
            <w:tcMar>
              <w:top w:type="dxa" w:w="60"/>
              <w:left w:type="dxa" w:w="80"/>
              <w:bottom w:type="dxa" w:w="60"/>
              <w:right w:type="dxa" w:w="80"/>
            </w:tcMar>
          </w:tcPr>
          <w:p>
            <w:pPr>
              <w:jc w:val="left"/>
            </w:pPr>
            <w:r>
              <w:rPr>
                <w:b/>
                <w:bCs/>
                <w:sz w:val="19"/>
                <w:szCs w:val="19"/>
              </w:rPr>
              <w:t xml:space="preserve">Método</w:t>
            </w:r>
          </w:p>
        </w:tc>
        <w:tc>
          <w:tcPr>
            <w:tcW w:type="dxa" w:w="2674"/>
            <w:shd w:fill="DDE7F3" w:color="auto" w:val="clear"/>
            <w:tcMar>
              <w:top w:type="dxa" w:w="60"/>
              <w:left w:type="dxa" w:w="80"/>
              <w:bottom w:type="dxa" w:w="60"/>
              <w:right w:type="dxa" w:w="80"/>
            </w:tcMar>
          </w:tcPr>
          <w:p>
            <w:pPr>
              <w:jc w:val="center"/>
            </w:pPr>
            <w:r>
              <w:rPr>
                <w:b/>
                <w:bCs/>
                <w:sz w:val="19"/>
                <w:szCs w:val="19"/>
              </w:rPr>
              <w:t xml:space="preserve">h experimental (10⁻³⁴ J·s)</w:t>
            </w:r>
          </w:p>
        </w:tc>
        <w:tc>
          <w:tcPr>
            <w:tcW w:type="dxa" w:w="1189"/>
            <w:shd w:fill="DDE7F3" w:color="auto" w:val="clear"/>
            <w:tcMar>
              <w:top w:type="dxa" w:w="60"/>
              <w:left w:type="dxa" w:w="80"/>
              <w:bottom w:type="dxa" w:w="60"/>
              <w:right w:type="dxa" w:w="80"/>
            </w:tcMar>
          </w:tcPr>
          <w:p>
            <w:pPr>
              <w:jc w:val="center"/>
            </w:pPr>
            <w:r>
              <w:rPr>
                <w:b/>
                <w:bCs/>
                <w:sz w:val="19"/>
                <w:szCs w:val="19"/>
              </w:rPr>
              <w:t xml:space="preserve">Dif. (%)</w:t>
            </w:r>
          </w:p>
        </w:tc>
        <w:tc>
          <w:tcPr>
            <w:tcW w:type="dxa" w:w="1189"/>
            <w:shd w:fill="DDE7F3" w:color="auto" w:val="clear"/>
            <w:tcMar>
              <w:top w:type="dxa" w:w="60"/>
              <w:left w:type="dxa" w:w="80"/>
              <w:bottom w:type="dxa" w:w="60"/>
              <w:right w:type="dxa" w:w="80"/>
            </w:tcMar>
          </w:tcPr>
          <w:p>
            <w:pPr>
              <w:jc w:val="center"/>
            </w:pPr>
            <w:r>
              <w:rPr>
                <w:b/>
                <w:bCs/>
                <w:sz w:val="19"/>
                <w:szCs w:val="19"/>
              </w:rPr>
              <w:t xml:space="preserve">Desvío</w:t>
            </w:r>
          </w:p>
        </w:tc>
      </w:tr>
      <w:tr>
        <w:tc>
          <w:tcPr>
            <w:tcW w:type="dxa" w:w="1485"/>
            <w:tcMar>
              <w:top w:type="dxa" w:w="60"/>
              <w:left w:type="dxa" w:w="80"/>
              <w:bottom w:type="dxa" w:w="60"/>
              <w:right w:type="dxa" w:w="80"/>
            </w:tcMar>
          </w:tcPr>
          <w:p>
            <w:pPr>
              <w:jc w:val="left"/>
            </w:pPr>
            <w:r>
              <w:rPr>
                <w:b w:val="false"/>
                <w:bCs w:val="false"/>
                <w:sz w:val="19"/>
                <w:szCs w:val="19"/>
              </w:rPr>
              <w:t xml:space="preserve">Sodio</w:t>
            </w:r>
          </w:p>
        </w:tc>
        <w:tc>
          <w:tcPr>
            <w:tcW w:type="dxa" w:w="2823"/>
            <w:tcMar>
              <w:top w:type="dxa" w:w="60"/>
              <w:left w:type="dxa" w:w="80"/>
              <w:bottom w:type="dxa" w:w="60"/>
              <w:right w:type="dxa" w:w="80"/>
            </w:tcMar>
          </w:tcPr>
          <w:p>
            <w:pPr>
              <w:jc w:val="left"/>
            </w:pPr>
            <w:r>
              <w:rPr>
                <w:b w:val="false"/>
                <w:bCs w:val="false"/>
                <w:sz w:val="19"/>
                <w:szCs w:val="19"/>
              </w:rPr>
              <w:t xml:space="preserve">Corte del amperímetro</w:t>
            </w:r>
          </w:p>
        </w:tc>
        <w:tc>
          <w:tcPr>
            <w:tcW w:type="dxa" w:w="2674"/>
            <w:tcMar>
              <w:top w:type="dxa" w:w="60"/>
              <w:left w:type="dxa" w:w="80"/>
              <w:bottom w:type="dxa" w:w="60"/>
              <w:right w:type="dxa" w:w="80"/>
            </w:tcMar>
          </w:tcPr>
          <w:p>
            <w:pPr>
              <w:jc w:val="center"/>
            </w:pPr>
            <w:r>
              <w:rPr>
                <w:b w:val="false"/>
                <w:bCs w:val="false"/>
                <w:sz w:val="19"/>
                <w:szCs w:val="19"/>
              </w:rPr>
              <w:t xml:space="preserve">7,086 ± 0,061</w:t>
            </w:r>
          </w:p>
        </w:tc>
        <w:tc>
          <w:tcPr>
            <w:tcW w:type="dxa" w:w="1189"/>
            <w:tcMar>
              <w:top w:type="dxa" w:w="60"/>
              <w:left w:type="dxa" w:w="80"/>
              <w:bottom w:type="dxa" w:w="60"/>
              <w:right w:type="dxa" w:w="80"/>
            </w:tcMar>
          </w:tcPr>
          <w:p>
            <w:pPr>
              <w:jc w:val="center"/>
            </w:pPr>
            <w:r>
              <w:rPr>
                <w:b w:val="false"/>
                <w:bCs w:val="false"/>
                <w:sz w:val="19"/>
                <w:szCs w:val="19"/>
              </w:rPr>
              <w:t xml:space="preserve">+6,9</w:t>
            </w:r>
          </w:p>
        </w:tc>
        <w:tc>
          <w:tcPr>
            <w:tcW w:type="dxa" w:w="1189"/>
            <w:tcMar>
              <w:top w:type="dxa" w:w="60"/>
              <w:left w:type="dxa" w:w="80"/>
              <w:bottom w:type="dxa" w:w="60"/>
              <w:right w:type="dxa" w:w="80"/>
            </w:tcMar>
          </w:tcPr>
          <w:p>
            <w:pPr>
              <w:jc w:val="center"/>
            </w:pPr>
            <w:r>
              <w:rPr>
                <w:b w:val="false"/>
                <w:bCs w:val="false"/>
                <w:sz w:val="19"/>
                <w:szCs w:val="19"/>
              </w:rPr>
              <w:t xml:space="preserve">7,5 σ</w:t>
            </w:r>
          </w:p>
        </w:tc>
      </w:tr>
      <w:tr>
        <w:tc>
          <w:tcPr>
            <w:tcW w:type="dxa" w:w="1485"/>
            <w:tcMar>
              <w:top w:type="dxa" w:w="60"/>
              <w:left w:type="dxa" w:w="80"/>
              <w:bottom w:type="dxa" w:w="60"/>
              <w:right w:type="dxa" w:w="80"/>
            </w:tcMar>
          </w:tcPr>
          <w:p>
            <w:pPr>
              <w:jc w:val="left"/>
            </w:pPr>
            <w:r>
              <w:rPr>
                <w:b w:val="false"/>
                <w:bCs w:val="false"/>
                <w:sz w:val="19"/>
                <w:szCs w:val="19"/>
              </w:rPr>
              <w:t xml:space="preserve">Sodio</w:t>
            </w:r>
          </w:p>
        </w:tc>
        <w:tc>
          <w:tcPr>
            <w:tcW w:type="dxa" w:w="2823"/>
            <w:tcMar>
              <w:top w:type="dxa" w:w="60"/>
              <w:left w:type="dxa" w:w="80"/>
              <w:bottom w:type="dxa" w:w="60"/>
              <w:right w:type="dxa" w:w="80"/>
            </w:tcMar>
          </w:tcPr>
          <w:p>
            <w:pPr>
              <w:jc w:val="left"/>
            </w:pPr>
            <w:r>
              <w:rPr>
                <w:b w:val="false"/>
                <w:bCs w:val="false"/>
                <w:sz w:val="19"/>
                <w:szCs w:val="19"/>
              </w:rPr>
              <w:t xml:space="preserve">Extrapolación</w:t>
            </w:r>
          </w:p>
        </w:tc>
        <w:tc>
          <w:tcPr>
            <w:tcW w:type="dxa" w:w="2674"/>
            <w:tcMar>
              <w:top w:type="dxa" w:w="60"/>
              <w:left w:type="dxa" w:w="80"/>
              <w:bottom w:type="dxa" w:w="60"/>
              <w:right w:type="dxa" w:w="80"/>
            </w:tcMar>
          </w:tcPr>
          <w:p>
            <w:pPr>
              <w:jc w:val="center"/>
            </w:pPr>
            <w:r>
              <w:rPr>
                <w:b w:val="false"/>
                <w:bCs w:val="false"/>
                <w:sz w:val="19"/>
                <w:szCs w:val="19"/>
              </w:rPr>
              <w:t xml:space="preserve">6,6259 ± 0,0029</w:t>
            </w:r>
          </w:p>
        </w:tc>
        <w:tc>
          <w:tcPr>
            <w:tcW w:type="dxa" w:w="1189"/>
            <w:tcMar>
              <w:top w:type="dxa" w:w="60"/>
              <w:left w:type="dxa" w:w="80"/>
              <w:bottom w:type="dxa" w:w="60"/>
              <w:right w:type="dxa" w:w="80"/>
            </w:tcMar>
          </w:tcPr>
          <w:p>
            <w:pPr>
              <w:jc w:val="center"/>
            </w:pPr>
            <w:r>
              <w:rPr>
                <w:b w:val="false"/>
                <w:bCs w:val="false"/>
                <w:sz w:val="19"/>
                <w:szCs w:val="19"/>
              </w:rPr>
              <w:t xml:space="preserve">−0,003</w:t>
            </w:r>
          </w:p>
        </w:tc>
        <w:tc>
          <w:tcPr>
            <w:tcW w:type="dxa" w:w="1189"/>
            <w:tcMar>
              <w:top w:type="dxa" w:w="60"/>
              <w:left w:type="dxa" w:w="80"/>
              <w:bottom w:type="dxa" w:w="60"/>
              <w:right w:type="dxa" w:w="80"/>
            </w:tcMar>
          </w:tcPr>
          <w:p>
            <w:pPr>
              <w:jc w:val="center"/>
            </w:pPr>
            <w:r>
              <w:rPr>
                <w:b w:val="false"/>
                <w:bCs w:val="false"/>
                <w:sz w:val="19"/>
                <w:szCs w:val="19"/>
              </w:rPr>
              <w:t xml:space="preserve">0,1 σ</w:t>
            </w:r>
          </w:p>
        </w:tc>
      </w:tr>
      <w:tr>
        <w:tc>
          <w:tcPr>
            <w:tcW w:type="dxa" w:w="1485"/>
            <w:tcMar>
              <w:top w:type="dxa" w:w="60"/>
              <w:left w:type="dxa" w:w="80"/>
              <w:bottom w:type="dxa" w:w="60"/>
              <w:right w:type="dxa" w:w="80"/>
            </w:tcMar>
          </w:tcPr>
          <w:p>
            <w:pPr>
              <w:jc w:val="left"/>
            </w:pPr>
            <w:r>
              <w:rPr>
                <w:b w:val="false"/>
                <w:bCs w:val="false"/>
                <w:sz w:val="19"/>
                <w:szCs w:val="19"/>
              </w:rPr>
              <w:t xml:space="preserve">Zinc</w:t>
            </w:r>
          </w:p>
        </w:tc>
        <w:tc>
          <w:tcPr>
            <w:tcW w:type="dxa" w:w="2823"/>
            <w:tcMar>
              <w:top w:type="dxa" w:w="60"/>
              <w:left w:type="dxa" w:w="80"/>
              <w:bottom w:type="dxa" w:w="60"/>
              <w:right w:type="dxa" w:w="80"/>
            </w:tcMar>
          </w:tcPr>
          <w:p>
            <w:pPr>
              <w:jc w:val="left"/>
            </w:pPr>
            <w:r>
              <w:rPr>
                <w:b w:val="false"/>
                <w:bCs w:val="false"/>
                <w:sz w:val="19"/>
                <w:szCs w:val="19"/>
              </w:rPr>
              <w:t xml:space="preserve">Corte del amperímetro</w:t>
            </w:r>
          </w:p>
        </w:tc>
        <w:tc>
          <w:tcPr>
            <w:tcW w:type="dxa" w:w="2674"/>
            <w:tcMar>
              <w:top w:type="dxa" w:w="60"/>
              <w:left w:type="dxa" w:w="80"/>
              <w:bottom w:type="dxa" w:w="60"/>
              <w:right w:type="dxa" w:w="80"/>
            </w:tcMar>
          </w:tcPr>
          <w:p>
            <w:pPr>
              <w:jc w:val="center"/>
            </w:pPr>
            <w:r>
              <w:rPr>
                <w:b w:val="false"/>
                <w:bCs w:val="false"/>
                <w:sz w:val="19"/>
                <w:szCs w:val="19"/>
              </w:rPr>
              <w:t xml:space="preserve">6,724 ± 0,030</w:t>
            </w:r>
          </w:p>
        </w:tc>
        <w:tc>
          <w:tcPr>
            <w:tcW w:type="dxa" w:w="1189"/>
            <w:tcMar>
              <w:top w:type="dxa" w:w="60"/>
              <w:left w:type="dxa" w:w="80"/>
              <w:bottom w:type="dxa" w:w="60"/>
              <w:right w:type="dxa" w:w="80"/>
            </w:tcMar>
          </w:tcPr>
          <w:p>
            <w:pPr>
              <w:jc w:val="center"/>
            </w:pPr>
            <w:r>
              <w:rPr>
                <w:b w:val="false"/>
                <w:bCs w:val="false"/>
                <w:sz w:val="19"/>
                <w:szCs w:val="19"/>
              </w:rPr>
              <w:t xml:space="preserve">+1,5</w:t>
            </w:r>
          </w:p>
        </w:tc>
        <w:tc>
          <w:tcPr>
            <w:tcW w:type="dxa" w:w="1189"/>
            <w:tcMar>
              <w:top w:type="dxa" w:w="60"/>
              <w:left w:type="dxa" w:w="80"/>
              <w:bottom w:type="dxa" w:w="60"/>
              <w:right w:type="dxa" w:w="80"/>
            </w:tcMar>
          </w:tcPr>
          <w:p>
            <w:pPr>
              <w:jc w:val="center"/>
            </w:pPr>
            <w:r>
              <w:rPr>
                <w:b w:val="false"/>
                <w:bCs w:val="false"/>
                <w:sz w:val="19"/>
                <w:szCs w:val="19"/>
              </w:rPr>
              <w:t xml:space="preserve">3,3 σ</w:t>
            </w:r>
          </w:p>
        </w:tc>
      </w:tr>
      <w:tr>
        <w:tc>
          <w:tcPr>
            <w:tcW w:type="dxa" w:w="1485"/>
            <w:tcMar>
              <w:top w:type="dxa" w:w="60"/>
              <w:left w:type="dxa" w:w="80"/>
              <w:bottom w:type="dxa" w:w="60"/>
              <w:right w:type="dxa" w:w="80"/>
            </w:tcMar>
          </w:tcPr>
          <w:p>
            <w:pPr>
              <w:jc w:val="left"/>
            </w:pPr>
            <w:r>
              <w:rPr>
                <w:b w:val="false"/>
                <w:bCs w:val="false"/>
                <w:sz w:val="19"/>
                <w:szCs w:val="19"/>
              </w:rPr>
              <w:t xml:space="preserve">Zinc</w:t>
            </w:r>
          </w:p>
        </w:tc>
        <w:tc>
          <w:tcPr>
            <w:tcW w:type="dxa" w:w="2823"/>
            <w:tcMar>
              <w:top w:type="dxa" w:w="60"/>
              <w:left w:type="dxa" w:w="80"/>
              <w:bottom w:type="dxa" w:w="60"/>
              <w:right w:type="dxa" w:w="80"/>
            </w:tcMar>
          </w:tcPr>
          <w:p>
            <w:pPr>
              <w:jc w:val="left"/>
            </w:pPr>
            <w:r>
              <w:rPr>
                <w:b w:val="false"/>
                <w:bCs w:val="false"/>
                <w:sz w:val="19"/>
                <w:szCs w:val="19"/>
              </w:rPr>
              <w:t xml:space="preserve">Extrapolación</w:t>
            </w:r>
          </w:p>
        </w:tc>
        <w:tc>
          <w:tcPr>
            <w:tcW w:type="dxa" w:w="2674"/>
            <w:tcMar>
              <w:top w:type="dxa" w:w="60"/>
              <w:left w:type="dxa" w:w="80"/>
              <w:bottom w:type="dxa" w:w="60"/>
              <w:right w:type="dxa" w:w="80"/>
            </w:tcMar>
          </w:tcPr>
          <w:p>
            <w:pPr>
              <w:jc w:val="center"/>
            </w:pPr>
            <w:r>
              <w:rPr>
                <w:b w:val="false"/>
                <w:bCs w:val="false"/>
                <w:sz w:val="19"/>
                <w:szCs w:val="19"/>
              </w:rPr>
              <w:t xml:space="preserve">6,6258 ± 0,0008</w:t>
            </w:r>
          </w:p>
        </w:tc>
        <w:tc>
          <w:tcPr>
            <w:tcW w:type="dxa" w:w="1189"/>
            <w:tcMar>
              <w:top w:type="dxa" w:w="60"/>
              <w:left w:type="dxa" w:w="80"/>
              <w:bottom w:type="dxa" w:w="60"/>
              <w:right w:type="dxa" w:w="80"/>
            </w:tcMar>
          </w:tcPr>
          <w:p>
            <w:pPr>
              <w:jc w:val="center"/>
            </w:pPr>
            <w:r>
              <w:rPr>
                <w:b w:val="false"/>
                <w:bCs w:val="false"/>
                <w:sz w:val="19"/>
                <w:szCs w:val="19"/>
              </w:rPr>
              <w:t xml:space="preserve">−0,003</w:t>
            </w:r>
          </w:p>
        </w:tc>
        <w:tc>
          <w:tcPr>
            <w:tcW w:type="dxa" w:w="1189"/>
            <w:tcMar>
              <w:top w:type="dxa" w:w="60"/>
              <w:left w:type="dxa" w:w="80"/>
              <w:bottom w:type="dxa" w:w="60"/>
              <w:right w:type="dxa" w:w="80"/>
            </w:tcMar>
          </w:tcPr>
          <w:p>
            <w:pPr>
              <w:jc w:val="center"/>
            </w:pPr>
            <w:r>
              <w:rPr>
                <w:b w:val="false"/>
                <w:bCs w:val="false"/>
                <w:sz w:val="19"/>
                <w:szCs w:val="19"/>
              </w:rPr>
              <w:t xml:space="preserve">0,3 σ</w:t>
            </w:r>
          </w:p>
        </w:tc>
      </w:tr>
      <w:tr>
        <w:tc>
          <w:tcPr>
            <w:tcW w:type="dxa" w:w="1485"/>
            <w:tcMar>
              <w:top w:type="dxa" w:w="60"/>
              <w:left w:type="dxa" w:w="80"/>
              <w:bottom w:type="dxa" w:w="60"/>
              <w:right w:type="dxa" w:w="80"/>
            </w:tcMar>
          </w:tcPr>
          <w:p>
            <w:pPr>
              <w:jc w:val="left"/>
            </w:pPr>
            <w:r>
              <w:rPr>
                <w:b w:val="false"/>
                <w:bCs w:val="false"/>
                <w:sz w:val="19"/>
                <w:szCs w:val="19"/>
              </w:rPr>
              <w:t xml:space="preserve">Platino</w:t>
            </w:r>
          </w:p>
        </w:tc>
        <w:tc>
          <w:tcPr>
            <w:tcW w:type="dxa" w:w="2823"/>
            <w:tcMar>
              <w:top w:type="dxa" w:w="60"/>
              <w:left w:type="dxa" w:w="80"/>
              <w:bottom w:type="dxa" w:w="60"/>
              <w:right w:type="dxa" w:w="80"/>
            </w:tcMar>
          </w:tcPr>
          <w:p>
            <w:pPr>
              <w:jc w:val="left"/>
            </w:pPr>
            <w:r>
              <w:rPr>
                <w:b w:val="false"/>
                <w:bCs w:val="false"/>
                <w:sz w:val="19"/>
                <w:szCs w:val="19"/>
              </w:rPr>
              <w:t xml:space="preserve">Corte del amperímetro</w:t>
            </w:r>
          </w:p>
        </w:tc>
        <w:tc>
          <w:tcPr>
            <w:tcW w:type="dxa" w:w="2674"/>
            <w:tcMar>
              <w:top w:type="dxa" w:w="60"/>
              <w:left w:type="dxa" w:w="80"/>
              <w:bottom w:type="dxa" w:w="60"/>
              <w:right w:type="dxa" w:w="80"/>
            </w:tcMar>
          </w:tcPr>
          <w:p>
            <w:pPr>
              <w:jc w:val="center"/>
            </w:pPr>
            <w:r>
              <w:rPr>
                <w:b w:val="false"/>
                <w:bCs w:val="false"/>
                <w:sz w:val="19"/>
                <w:szCs w:val="19"/>
              </w:rPr>
              <w:t xml:space="preserve">6,782 ± 0,048</w:t>
            </w:r>
          </w:p>
        </w:tc>
        <w:tc>
          <w:tcPr>
            <w:tcW w:type="dxa" w:w="1189"/>
            <w:tcMar>
              <w:top w:type="dxa" w:w="60"/>
              <w:left w:type="dxa" w:w="80"/>
              <w:bottom w:type="dxa" w:w="60"/>
              <w:right w:type="dxa" w:w="80"/>
            </w:tcMar>
          </w:tcPr>
          <w:p>
            <w:pPr>
              <w:jc w:val="center"/>
            </w:pPr>
            <w:r>
              <w:rPr>
                <w:b w:val="false"/>
                <w:bCs w:val="false"/>
                <w:sz w:val="19"/>
                <w:szCs w:val="19"/>
              </w:rPr>
              <w:t xml:space="preserve">+2,4</w:t>
            </w:r>
          </w:p>
        </w:tc>
        <w:tc>
          <w:tcPr>
            <w:tcW w:type="dxa" w:w="1189"/>
            <w:tcMar>
              <w:top w:type="dxa" w:w="60"/>
              <w:left w:type="dxa" w:w="80"/>
              <w:bottom w:type="dxa" w:w="60"/>
              <w:right w:type="dxa" w:w="80"/>
            </w:tcMar>
          </w:tcPr>
          <w:p>
            <w:pPr>
              <w:jc w:val="center"/>
            </w:pPr>
            <w:r>
              <w:rPr>
                <w:b w:val="false"/>
                <w:bCs w:val="false"/>
                <w:sz w:val="19"/>
                <w:szCs w:val="19"/>
              </w:rPr>
              <w:t xml:space="preserve">3,3 σ</w:t>
            </w:r>
          </w:p>
        </w:tc>
      </w:tr>
      <w:tr>
        <w:tc>
          <w:tcPr>
            <w:tcW w:type="dxa" w:w="1485"/>
            <w:tcMar>
              <w:top w:type="dxa" w:w="60"/>
              <w:left w:type="dxa" w:w="80"/>
              <w:bottom w:type="dxa" w:w="60"/>
              <w:right w:type="dxa" w:w="80"/>
            </w:tcMar>
          </w:tcPr>
          <w:p>
            <w:pPr>
              <w:jc w:val="left"/>
            </w:pPr>
            <w:r>
              <w:rPr>
                <w:b w:val="false"/>
                <w:bCs w:val="false"/>
                <w:sz w:val="19"/>
                <w:szCs w:val="19"/>
              </w:rPr>
              <w:t xml:space="preserve">Platino</w:t>
            </w:r>
          </w:p>
        </w:tc>
        <w:tc>
          <w:tcPr>
            <w:tcW w:type="dxa" w:w="2823"/>
            <w:tcMar>
              <w:top w:type="dxa" w:w="60"/>
              <w:left w:type="dxa" w:w="80"/>
              <w:bottom w:type="dxa" w:w="60"/>
              <w:right w:type="dxa" w:w="80"/>
            </w:tcMar>
          </w:tcPr>
          <w:p>
            <w:pPr>
              <w:jc w:val="left"/>
            </w:pPr>
            <w:r>
              <w:rPr>
                <w:b w:val="false"/>
                <w:bCs w:val="false"/>
                <w:sz w:val="19"/>
                <w:szCs w:val="19"/>
              </w:rPr>
              <w:t xml:space="preserve">Extrapolación</w:t>
            </w:r>
          </w:p>
        </w:tc>
        <w:tc>
          <w:tcPr>
            <w:tcW w:type="dxa" w:w="2674"/>
            <w:tcMar>
              <w:top w:type="dxa" w:w="60"/>
              <w:left w:type="dxa" w:w="80"/>
              <w:bottom w:type="dxa" w:w="60"/>
              <w:right w:type="dxa" w:w="80"/>
            </w:tcMar>
          </w:tcPr>
          <w:p>
            <w:pPr>
              <w:jc w:val="center"/>
            </w:pPr>
            <w:r>
              <w:rPr>
                <w:b w:val="false"/>
                <w:bCs w:val="false"/>
                <w:sz w:val="19"/>
                <w:szCs w:val="19"/>
              </w:rPr>
              <w:t xml:space="preserve">6,6259 ± 0,0015</w:t>
            </w:r>
          </w:p>
        </w:tc>
        <w:tc>
          <w:tcPr>
            <w:tcW w:type="dxa" w:w="1189"/>
            <w:tcMar>
              <w:top w:type="dxa" w:w="60"/>
              <w:left w:type="dxa" w:w="80"/>
              <w:bottom w:type="dxa" w:w="60"/>
              <w:right w:type="dxa" w:w="80"/>
            </w:tcMar>
          </w:tcPr>
          <w:p>
            <w:pPr>
              <w:jc w:val="center"/>
            </w:pPr>
            <w:r>
              <w:rPr>
                <w:b w:val="false"/>
                <w:bCs w:val="false"/>
                <w:sz w:val="19"/>
                <w:szCs w:val="19"/>
              </w:rPr>
              <w:t xml:space="preserve">−0,003</w:t>
            </w:r>
          </w:p>
        </w:tc>
        <w:tc>
          <w:tcPr>
            <w:tcW w:type="dxa" w:w="1189"/>
            <w:tcMar>
              <w:top w:type="dxa" w:w="60"/>
              <w:left w:type="dxa" w:w="80"/>
              <w:bottom w:type="dxa" w:w="60"/>
              <w:right w:type="dxa" w:w="80"/>
            </w:tcMar>
          </w:tcPr>
          <w:p>
            <w:pPr>
              <w:jc w:val="center"/>
            </w:pPr>
            <w:r>
              <w:rPr>
                <w:b w:val="false"/>
                <w:bCs w:val="false"/>
                <w:sz w:val="19"/>
                <w:szCs w:val="19"/>
              </w:rPr>
              <w:t xml:space="preserve">0,1 σ</w:t>
            </w:r>
          </w:p>
        </w:tc>
      </w:tr>
    </w:tbl>
    <w:p>
      <w:pPr>
        <w:spacing w:after="160"/>
        <w:jc w:val="center"/>
      </w:pPr>
      <w:r>
        <w:rPr>
          <w:i/>
          <w:iCs/>
          <w:sz w:val="20"/>
          <w:szCs w:val="20"/>
        </w:rPr>
        <w:t xml:space="preserve">Tabla 4. Constante de Planck obtenida de la pendiente de cada recta, comparada con el valor de literatura h = 6,62607 × 10⁻³⁴ J·s. La última columna indica cuántas veces la incerteza entra en la diferencia.</w:t>
      </w:r>
    </w:p>
    <w:p>
      <w:pPr>
        <w:pStyle w:val="Heading2"/>
        <w:spacing w:after="120" w:before="240"/>
      </w:pPr>
      <w:r>
        <w:rPr>
          <w:b/>
          <w:bCs/>
          <w:color w:val="000000"/>
          <w:sz w:val="26"/>
          <w:szCs w:val="26"/>
        </w:rPr>
        <w:t xml:space="preserve">4. Discusión</w:t>
      </w:r>
    </w:p>
    <w:p>
      <w:pPr>
        <w:spacing w:after="120" w:line="276"/>
        <w:jc w:val="both"/>
      </w:pPr>
      <w:r>
        <w:rPr>
          <w:b w:val="false"/>
          <w:bCs w:val="false"/>
          <w:i w:val="false"/>
          <w:iCs w:val="false"/>
          <w:sz w:val="22"/>
          <w:szCs w:val="22"/>
        </w:rPr>
        <w:t xml:space="preserve">En los seis ajustes el coeficiente R² fue mayor que 0,998, de modo que los datos quedan muy bien descriptos por una recta y se confirma la relación lineal entre el potencial de frenado y la inversa de la longitud de onda.</w:t>
      </w:r>
    </w:p>
    <w:p>
      <w:pPr>
        <w:spacing w:after="120" w:line="276"/>
        <w:jc w:val="both"/>
      </w:pPr>
      <w:r>
        <w:rPr>
          <w:b w:val="false"/>
          <w:bCs w:val="false"/>
          <w:i w:val="false"/>
          <w:iCs w:val="false"/>
          <w:sz w:val="22"/>
          <w:szCs w:val="22"/>
        </w:rPr>
        <w:t xml:space="preserve">Ahora bien, un R² alto dice que los puntos están alineados, no que estén en el lugar correcto. Comparando la constante de Planck obtenida con su valor de literatura (Tabla 4) se ve que, por el método del corte, las diferencias son de 7,5 incertezas para el sodio y de 3,3 para el zinc y el platino. Una diferencia de más de tres incertezas no se explica por la dispersión de las mediciones: indica que hay un error que corre todos los puntos en el mismo sentido, es decir un error sistemático. Por el método de extrapolación, en cambio, las diferencias quedan por debajo de media incerteza.</w:t>
      </w:r>
    </w:p>
    <w:p>
      <w:pPr>
        <w:spacing w:after="120" w:line="276"/>
        <w:jc w:val="both"/>
      </w:pPr>
      <w:r>
        <w:rPr>
          <w:b w:val="false"/>
          <w:bCs w:val="false"/>
          <w:i w:val="false"/>
          <w:iCs w:val="false"/>
          <w:sz w:val="22"/>
          <w:szCs w:val="22"/>
        </w:rPr>
        <w:t xml:space="preserve">El resultado que pide la práctica es el del primer método, porque el potencial de frenado se define como la tensión que evita la producción de efecto fotoeléctrico; el segundo se incorporó como control. Los dos, aplicados a los mismos datos, no dan el mismo valor de φ₀. Midiendo el potencial de frenado como el voltaje con el que el amperímetro llega a cero, las diferencias con la literatura quedaron entre +4,1 % y +6,5 %, siempre por encima. Esto tiene una explicación clara: la simulación muestra como cero toda corriente muy chica, así que el amperímetro se apaga un poco antes de que los electrones estén realmente frenados y el potencial de frenado medido queda por debajo del verdadero. El error no es parejo: es grande cuando la corriente es chica, es decir cerca de la longitud de onda crítica, y casi desaparece en las longitudes de onda más cortas. Por ejemplo, en el primer punto del sodio (478 nm) se midieron 0,100 V contra los 0,294 V que da la extrapolación, mientras que en el último punto del zinc (108 nm) la diferencia es de apenas 0,9 %. Como los puntos de un extremo se corren y los del otro no, la recta queda un poco más inclinada de lo que debería y tanto φ₀ como h salen de más. Por eso el sodio es el más afectado: es el material con el rango de medición más corto y con los potenciales de frenado más chicos.</w:t>
      </w:r>
    </w:p>
    <w:p>
      <w:pPr>
        <w:spacing w:after="120" w:line="276"/>
        <w:jc w:val="both"/>
      </w:pPr>
      <w:r>
        <w:rPr>
          <w:b w:val="false"/>
          <w:bCs w:val="false"/>
          <w:i w:val="false"/>
          <w:iCs w:val="false"/>
          <w:sz w:val="22"/>
          <w:szCs w:val="22"/>
        </w:rPr>
        <w:t xml:space="preserve">Con el segundo método el problema desaparece, porque la recta de corriente contra voltaje se prolonga hasta cero y no depende de cuándo el instrumento deja de marcar. Las pendientes dieron 1239,80 V·nm en los tres materiales, contra el valor teórico de hc/e = 1239,84 V·nm, y la constante de Planck resultó 6,626 × 10⁻³⁴ J·s, que coincide con el valor de literatura. Las funciones de trabajo obtenidas fueron 2,300, 4,300 y 6,300 eV. La diferencia que queda contra los valores de Serway (2,46, 4,31 y 6,35 eV) es menor al 1 % para el zinc y el platino y del 6,5 % para el sodio. Que este método devuelva justo 2,3000, 4,3000 y 6,3000 eV —tres números redondos, con R² = 1 y con una incerteza de dos milésimas de eV— indica que esos son los valores que la propia simulación tiene cargados para cada material, y no los de la tabla de Serway: la diferencia que queda no proviene de la medición sino del modelo.</w:t>
      </w:r>
    </w:p>
    <w:p>
      <w:pPr>
        <w:pStyle w:val="Heading2"/>
        <w:spacing w:after="120" w:before="240"/>
      </w:pPr>
      <w:r>
        <w:rPr>
          <w:b/>
          <w:bCs/>
          <w:color w:val="000000"/>
          <w:sz w:val="26"/>
          <w:szCs w:val="26"/>
        </w:rPr>
        <w:t xml:space="preserve">5. Conclusión</w:t>
      </w:r>
    </w:p>
    <w:p>
      <w:pPr>
        <w:spacing w:after="120" w:line="276"/>
        <w:jc w:val="both"/>
      </w:pPr>
      <w:r>
        <w:rPr>
          <w:b w:val="false"/>
          <w:bCs w:val="false"/>
          <w:i w:val="false"/>
          <w:iCs w:val="false"/>
          <w:sz w:val="22"/>
          <w:szCs w:val="22"/>
        </w:rPr>
        <w:t xml:space="preserve">La simulación del efecto fotoeléctrico para el sodio, el zinc y el platino permitió comprobar que los tres materiales siguen la misma ley, y que lo único que cambia de uno a otro es su función de trabajo.</w:t>
      </w:r>
    </w:p>
    <w:p>
      <w:pPr>
        <w:spacing w:after="120" w:line="276"/>
        <w:jc w:val="both"/>
      </w:pPr>
      <w:r>
        <w:rPr>
          <w:b w:val="false"/>
          <w:bCs w:val="false"/>
          <w:i w:val="false"/>
          <w:iCs w:val="false"/>
          <w:sz w:val="22"/>
          <w:szCs w:val="22"/>
        </w:rPr>
        <w:t xml:space="preserve">A partir del análisis realizado se observa que:</w:t>
      </w:r>
    </w:p>
    <w:p>
      <w:pPr>
        <w:spacing w:after="120" w:line="276"/>
        <w:jc w:val="both"/>
      </w:pPr>
      <w:r>
        <w:rPr>
          <w:b w:val="false"/>
          <w:bCs w:val="false"/>
          <w:i w:val="false"/>
          <w:iCs w:val="false"/>
          <w:sz w:val="22"/>
          <w:szCs w:val="22"/>
        </w:rPr>
        <w:t xml:space="preserve">El potencial de frenado resultó proporcional a la inversa de la longitud de onda en los tres materiales, con coeficientes de correlación superiores a 0,998. La pendiente de esa recta no depende del material, tal como predice la teoría, y de ella se obtuvo la constante de Planck.</w:t>
      </w:r>
    </w:p>
    <w:p>
      <w:pPr>
        <w:spacing w:after="120" w:line="276"/>
        <w:jc w:val="both"/>
      </w:pPr>
      <w:r>
        <w:rPr>
          <w:b w:val="false"/>
          <w:bCs w:val="false"/>
          <w:i w:val="false"/>
          <w:iCs w:val="false"/>
          <w:sz w:val="22"/>
          <w:szCs w:val="22"/>
        </w:rPr>
        <w:t xml:space="preserve">Las funciones de trabajo obtenidas de la ordenada al origen fueron (2,619 ± 0,031) eV para el sodio, (4,490 ± 0,034) eV para el zinc y (6,612 ± 0,067) eV para el platino, con diferencias respecto de los valores de literatura menores al 7 %. El orden entre los tres materiales se mantiene y se corresponde con el orden de sus longitudes de onda críticas.</w:t>
      </w:r>
    </w:p>
    <w:p>
      <w:pPr>
        <w:spacing w:after="120" w:line="276"/>
        <w:jc w:val="both"/>
      </w:pPr>
      <w:r>
        <w:rPr>
          <w:b w:val="false"/>
          <w:bCs w:val="false"/>
          <w:i w:val="false"/>
          <w:iCs w:val="false"/>
          <w:sz w:val="22"/>
          <w:szCs w:val="22"/>
        </w:rPr>
        <w:t xml:space="preserve">La longitud de onda crítica medida depende del criterio que se use para decidir si hay efecto fotoeléctrico. Observando la emisión de electrones se obtuvieron 539, 288 y 196 nm, prácticamente iguales a los valores teóricos, mientras que tomando como referencia el amperímetro los valores quedaron entre un 6 y un 9 % por debajo.</w:t>
      </w:r>
    </w:p>
    <w:p>
      <w:pPr>
        <w:spacing w:after="120" w:line="276"/>
        <w:jc w:val="both"/>
      </w:pPr>
      <w:r>
        <w:rPr>
          <w:b w:val="false"/>
          <w:bCs w:val="false"/>
          <w:i w:val="false"/>
          <w:iCs w:val="false"/>
          <w:sz w:val="22"/>
          <w:szCs w:val="22"/>
        </w:rPr>
        <w:t xml:space="preserve">La forma de medir el potencial de frenado influye en el resultado. Tomar el punto en que el instrumento deja de marcar introduce un error sistemático que siempre va en el mismo sentido y que es mayor cuanto menor es la corriente; prolongar la recta de corriente contra voltaje hasta cero evita ese error y mejora notablemente el acuerdo con los valores esperados. Que las diferencias del primer método superen las tres incertezas mientras que las del segundo queden por debajo de media confirma que se trata de un error del método de medición y no de la dispersión de los datos.</w:t>
      </w:r>
    </w:p>
    <w:p>
      <w:pPr>
        <w:spacing w:after="120" w:line="276"/>
        <w:jc w:val="both"/>
      </w:pPr>
      <w:r>
        <w:rPr>
          <w:b w:val="false"/>
          <w:bCs w:val="false"/>
          <w:i w:val="false"/>
          <w:iCs w:val="false"/>
          <w:sz w:val="22"/>
          <w:szCs w:val="22"/>
        </w:rPr>
        <w:t xml:space="preserve">Todas las mediciones se hicieron con la intensidad al 100 %, como pide la guía. Bajarla habría reducido la corriente, porque llegan menos fotones por segundo, pero no habría cambiado ninguno de los potenciales de frenado ni, por lo tanto, ninguna de las funciones de trabajo: cada electrón recibe la energía de un solo fotón y esa energía depende de la longitud de onda, no de cuánta luz haya. Ese es justamente el punto que la descripción clásica no puede explicar.</w:t>
      </w:r>
    </w:p>
    <w:p>
      <w:pPr>
        <w:pStyle w:val="Heading2"/>
        <w:spacing w:after="120" w:before="240"/>
      </w:pPr>
      <w:r>
        <w:rPr>
          <w:b/>
          <w:bCs/>
          <w:color w:val="000000"/>
          <w:sz w:val="26"/>
          <w:szCs w:val="26"/>
        </w:rPr>
        <w:t xml:space="preserve">6. Bibliografía</w:t>
      </w:r>
    </w:p>
    <w:p>
      <w:pPr>
        <w:spacing w:after="120" w:line="276"/>
        <w:jc w:val="both"/>
      </w:pPr>
      <w:r>
        <w:rPr>
          <w:b w:val="false"/>
          <w:bCs w:val="false"/>
          <w:i w:val="false"/>
          <w:iCs w:val="false"/>
          <w:sz w:val="22"/>
          <w:szCs w:val="22"/>
        </w:rPr>
        <w:t xml:space="preserve">Serway, R. A. y Jewett, J. W. (2008). Física para ciencias e ingeniería (7.ª edición), volumen 2, capítulo 40: "Introducción a la física cuántica". Tabla 40.1, funciones trabajo de metales seleccionados. Cengage Learning.</w:t>
      </w:r>
    </w:p>
    <w:p>
      <w:pPr>
        <w:spacing w:after="120" w:line="276"/>
        <w:jc w:val="left"/>
      </w:pPr>
      <w:r>
        <w:rPr>
          <w:b w:val="false"/>
          <w:bCs w:val="false"/>
          <w:i w:val="false"/>
          <w:iCs w:val="false"/>
          <w:sz w:val="22"/>
          <w:szCs w:val="22"/>
        </w:rPr>
        <w:t xml:space="preserve">PhET Interactive Simulations, University of Colorado Boulder. Simulación "Efecto Fotoeléctrico" (photoelectric_es). Disponible en https://phet.colorado.edu/es/simulation/legacy/photoelectric</w:t>
      </w:r>
    </w:p>
    <w:p>
      <w:pPr>
        <w:spacing w:after="120" w:line="276"/>
        <w:jc w:val="left"/>
      </w:pPr>
      <w:r>
        <w:rPr>
          <w:b w:val="false"/>
          <w:bCs w:val="false"/>
          <w:i w:val="false"/>
          <w:iCs w:val="false"/>
          <w:sz w:val="22"/>
          <w:szCs w:val="22"/>
        </w:rPr>
        <w:t xml:space="preserve">Valores de las constantes físicas: CODATA 2018.</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e9ae90b6ffd6181cddfe5cc4bf643fc0da39947.png"/><Relationship Id="rId8" Type="http://schemas.openxmlformats.org/officeDocument/2006/relationships/image" Target="media/0e5d45456fd29a3ac0ccaf658e0f78381af5770e.png"/><Relationship Id="rId9" Type="http://schemas.openxmlformats.org/officeDocument/2006/relationships/image" Target="media/e14957e45294877dc721d3a25103a17c5cab6d78.png"/><Relationship Id="rId10" Type="http://schemas.openxmlformats.org/officeDocument/2006/relationships/image" Target="media/1364afe735a1c5c918afb37ec82f9a91fbb721d3.png"/><Relationship Id="rId11" Type="http://schemas.openxmlformats.org/officeDocument/2006/relationships/image" Target="media/627dddfff8673ae467c21cd28d80b287aec28bd0.png"/><Relationship Id="rId12" Type="http://schemas.openxmlformats.org/officeDocument/2006/relationships/image" Target="media/973aee2a57630933f687c3c0618f45967d9128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Efecto Fotoeléctrico — Práctica de Laboratorio</dc:title>
  <dc:creator>Física 2</dc:creator>
  <cp:lastModifiedBy>Un-named</cp:lastModifiedBy>
  <cp:revision>1</cp:revision>
  <dcterms:created xsi:type="dcterms:W3CDTF">2026-10-10T00:52:07.574Z</dcterms:created>
  <dcterms:modified xsi:type="dcterms:W3CDTF">2026-10-10T00:52:07.574Z</dcterms:modified>
</cp:coreProperties>
</file>

<file path=docProps/custom.xml><?xml version="1.0" encoding="utf-8"?>
<Properties xmlns="http://schemas.openxmlformats.org/officeDocument/2006/custom-properties" xmlns:vt="http://schemas.openxmlformats.org/officeDocument/2006/docPropsVTypes"/>
</file>