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Acuerdo de Transmisión de Datos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Anexo de encargo entre la empresa cliente y los operadores de Roustix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PIL-LEG-003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Borrador sujeto a revisión jurídica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Documentar las instrucciones bajo las cuales Roustix trata datos personales por cuenta de la empresa durante el piloto o servicio.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Partes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Cliente / razón social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NIT / identificación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Representante autorizado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Domicilio y contacto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Operador 1 de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Nombre, identificación, domicilio y contacto: 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Operador 2 de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Nombre, identificación, domicilio y contacto: ______________________________</w:t>
            </w:r>
          </w:p>
        </w:tc>
      </w:tr>
    </w:tbl>
    <w:p>
      <w:pPr>
        <w:pStyle w:val="Heading1"/>
        <w:keepNext/>
      </w:pPr>
      <w:r>
        <w:t>2. Objeto y duración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El Cliente, como Responsable respecto de los datos que incorpora, encarga el tratamiento necesario para alojar, organizar, consultar, respaldar, proteger, recuperar, exportar y suprimir información en los módulos habilitados. El encargo dura durante el servicio y los períodos residuales definidos por escrito.</w:t>
      </w:r>
    </w:p>
    <w:p>
      <w:pPr>
        <w:pStyle w:val="Heading1"/>
        <w:keepNext/>
      </w:pPr>
      <w:r>
        <w:t>3. Instrucciones</w:t>
      </w:r>
    </w:p>
    <w:p>
      <w:pPr>
        <w:keepLines/>
      </w:pPr>
      <w:r>
        <w:rPr>
          <w:rFonts w:ascii="Calibri" w:hAnsi="Calibri"/>
          <w:color w:val="1D2733"/>
          <w:sz w:val="22"/>
        </w:rPr>
        <w:t>Roustix tratará los datos conforme al acuerdo, la configuración del Cliente, las acciones de usuarios autorizados y otras instrucciones escritas y lícitas. No determinará finalidades incompatibles ni venderá datos.</w:t>
      </w:r>
    </w:p>
    <w:p>
      <w:pPr>
        <w:pStyle w:val="Heading1"/>
        <w:keepNext/>
      </w:pPr>
      <w:r>
        <w:t>4. Titulares y datos</w:t>
      </w:r>
    </w:p>
    <w:p>
      <w:pPr>
        <w:keepLines/>
      </w:pPr>
      <w:r>
        <w:rPr>
          <w:rFonts w:ascii="Calibri" w:hAnsi="Calibri"/>
          <w:color w:val="1D2733"/>
          <w:sz w:val="22"/>
        </w:rPr>
        <w:t>Pueden comprender administradores, empleados, técnicos, solicitantes, responsables de activos, contactos de proveedores y terceros registrados; y datos de identificación, contacto, cargo, registros operativos, auditoría, archivos y evidencias.</w:t>
      </w:r>
    </w:p>
    <w:p>
      <w:pPr>
        <w:pStyle w:val="Heading1"/>
        <w:keepNext/>
      </w:pPr>
      <w:r>
        <w:t>5. Datos especiales</w:t>
      </w:r>
    </w:p>
    <w:p>
      <w:pPr>
        <w:keepLines/>
      </w:pPr>
      <w:r>
        <w:rPr>
          <w:rFonts w:ascii="Calibri" w:hAnsi="Calibri"/>
          <w:color w:val="1D2733"/>
          <w:sz w:val="22"/>
        </w:rPr>
        <w:t>No se autoriza cargar datos sensibles o de menores sin anexo previo, base jurídica demostrada, evaluación de riesgos y controles adicionales aprobados.</w:t>
      </w:r>
    </w:p>
    <w:p>
      <w:pPr>
        <w:pStyle w:val="Heading1"/>
        <w:keepNext/>
      </w:pPr>
      <w:r>
        <w:t>6. Obligaciones de Roustix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Obligación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Aplicación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Instrucciones y confidencialidad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Tratar solo para finalidades documentadas y limitar el acceso a personal autorizado.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Seguridad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Mantener controles proporcionales, aislamiento por tenant, trazabilidad y continuidad.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Derechos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Cooperar razonablemente con consultas, reclamos, acceso, corrección, exportación y supresión.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Incidentes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Informar sin demora indebida eventos confirmados que afecten datos del Cliente.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Subencargados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Imponer obligaciones equivalentes e informar una lista vigente y cambios relevantes.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Cierre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Apoyar retorno, eliminación o anonimización según el acuerdo y obligaciones legales.</w:t>
            </w:r>
          </w:p>
        </w:tc>
      </w:tr>
    </w:tbl>
    <w:p>
      <w:pPr>
        <w:pStyle w:val="Heading1"/>
        <w:keepNext/>
      </w:pPr>
      <w:r>
        <w:t>7. Obligaciones del Cliente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Obligación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Aplicación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Base jurídica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Contar con autorización u otra base válida e informar a los titulares.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Instrucciones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Impartir instrucciones lícitas, claras y documentadas.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Accesos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Administrar usuarios, roles y bajas oportunamente.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Minimización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 cargar datos excesivos, ilícitos o ajenos al objeto.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Derechos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Atender de fondo solicitudes y decisiones frente a titulares y autoridades.</w:t>
            </w:r>
          </w:p>
        </w:tc>
      </w:tr>
    </w:tbl>
    <w:p>
      <w:pPr>
        <w:pStyle w:val="Heading1"/>
        <w:keepNext/>
      </w:pPr>
      <w:r>
        <w:t>8. Subencargados y flujos internacionales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2300"/>
        <w:gridCol w:w="26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Proveedor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Región / país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Render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Alojamiento y operación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Por validar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Cloudflare R2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Archivos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Por validar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Sentry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Observabilidad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Por validar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Proveedor SMTP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Correo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Pendiente</w:t>
            </w:r>
          </w:p>
        </w:tc>
      </w:tr>
    </w:tbl>
    <w:p>
      <w:pPr>
        <w:pStyle w:val="Heading1"/>
        <w:keepNext/>
      </w:pPr>
      <w:r>
        <w:t>9. Incidentes</w:t>
      </w:r>
    </w:p>
    <w:p>
      <w:pPr>
        <w:keepLines/>
      </w:pPr>
      <w:r>
        <w:rPr>
          <w:rFonts w:ascii="Calibri" w:hAnsi="Calibri"/>
          <w:color w:val="1D2733"/>
          <w:sz w:val="22"/>
        </w:rPr>
        <w:t>La notificación incluirá, cuando esté disponible, naturaleza, datos y titulares potencialmente afectados, medidas adoptadas, riesgos y contacto. El Cliente conserva las decisiones de comunicación a titulares y autoridades, con cooperación de Roustix.</w:t>
      </w:r>
    </w:p>
    <w:p>
      <w:pPr>
        <w:pStyle w:val="Heading1"/>
        <w:keepNext/>
      </w:pPr>
      <w:r>
        <w:t>10. Retorno, eliminación y auditoría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Plazo de exportación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 desde la terminación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Eliminación de copias activas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 después de la entrega / vencimiento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Rotación residual de respaldos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 días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Evidencia de cierre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Acta y constancia de exportación, conservación o eliminación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Auditoría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Evidencia razonable coordinada, protegiendo secretos y datos de terceros</w:t>
            </w:r>
          </w:p>
        </w:tc>
      </w:tr>
    </w:tbl>
    <w:p>
      <w:pPr>
        <w:pStyle w:val="Heading1"/>
        <w:keepNext/>
      </w:pPr>
      <w:r>
        <w:t>11. Firmas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Responsable · 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Encargados ·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PIL-LEG-003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Transmisión de Datos Roustix</dc:title>
  <dc:subject>Anexo de encargo de datos</dc:subject>
  <dc:creator>Roustix</dc:creator>
  <cp:keywords>Roustix, piloto, SaaS, documento empresarial</cp:keywords>
  <dc:description>Borrador sujeto a revisión jurídica.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