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Términos del Piloto SaaS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Condiciones provisionales de acceso y uso empresarial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PIL-LEG-001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sujeto a revisión jurídica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Regular el acceso temporal y asistido a Roustix. Debe completarse con la identificación de los operadores y revisarse jurídicamente antes de firmarse.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Advertencia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Roustix es actualmente un nombre comercial operado por dos personas naturales. Si se constituye una sociedad antes de la firma, debe sustituirse íntegramente la identificación de la parte prestadora.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Partes y documentos integrantes</w:t>
      </w:r>
    </w:p>
    <w:p>
      <w:pPr>
        <w:keepLines/>
      </w:pPr>
      <w:r>
        <w:rPr>
          <w:rFonts w:ascii="Calibri" w:hAnsi="Calibri"/>
          <w:color w:val="1D2733"/>
          <w:sz w:val="22"/>
        </w:rPr>
        <w:t>El Cliente Piloto y los operadores de Roustix se identifican en el Acta de Vinculación. Integran el acuerdo la propuesta aceptada, esta versión de los términos, la guía operativa y los anexos de datos aplicables.</w:t>
      </w:r>
    </w:p>
    <w:p>
      <w:pPr>
        <w:pStyle w:val="Heading1"/>
        <w:keepNext/>
      </w:pPr>
      <w:r>
        <w:t>2. Objeto</w:t>
      </w:r>
    </w:p>
    <w:p>
      <w:pPr>
        <w:keepLines/>
      </w:pPr>
      <w:r>
        <w:rPr>
          <w:rFonts w:ascii="Calibri" w:hAnsi="Calibri"/>
          <w:color w:val="1D2733"/>
          <w:sz w:val="22"/>
        </w:rPr>
        <w:t>El piloto permite validar temporalmente funciones de gestión de activos, mantenimiento, inventario y módulos habilitados. No concede propiedad sobre el software ni autoriza su reventa, copia, ingeniería inversa o uso por terceros no vinculados.</w:t>
      </w:r>
    </w:p>
    <w:p>
      <w:pPr>
        <w:pStyle w:val="Heading1"/>
        <w:keepNext/>
      </w:pPr>
      <w:r>
        <w:t>3. Alcance económico</w:t>
      </w:r>
    </w:p>
    <w:p>
      <w:pPr>
        <w:keepLines/>
      </w:pPr>
      <w:r>
        <w:rPr>
          <w:rFonts w:ascii="Calibri" w:hAnsi="Calibri"/>
          <w:color w:val="1D2733"/>
          <w:sz w:val="22"/>
        </w:rPr>
        <w:t>Plan, precio o gratuidad, impuestos, forma de pago, usuarios, módulos, duración y almacenamiento deben constar en la propuesta y el acta. Ningún cobro o beneficio adicional se presume.</w:t>
      </w:r>
    </w:p>
    <w:p>
      <w:pPr>
        <w:pStyle w:val="Heading1"/>
        <w:keepNext/>
      </w:pPr>
      <w:r>
        <w:t>4. Cuentas y uso autorizado</w:t>
      </w:r>
    </w:p>
    <w:p>
      <w:pPr>
        <w:keepLines/>
      </w:pPr>
      <w:r>
        <w:rPr>
          <w:rFonts w:ascii="Calibri" w:hAnsi="Calibri"/>
          <w:color w:val="1D2733"/>
          <w:sz w:val="22"/>
        </w:rPr>
        <w:t>El Cliente designará administradores, mantendrá datos exactos, asignará permisos mínimos, protegerá credenciales, dará de baja accesos oportunamente y no cargará contenido ilícito, malicioso o sin autorización.</w:t>
      </w:r>
    </w:p>
    <w:p>
      <w:pPr>
        <w:pStyle w:val="Heading1"/>
        <w:keepNext/>
      </w:pPr>
      <w:r>
        <w:t>5. Datos del cliente</w:t>
      </w:r>
    </w:p>
    <w:p>
      <w:pPr>
        <w:keepLines/>
      </w:pPr>
      <w:r>
        <w:rPr>
          <w:rFonts w:ascii="Calibri" w:hAnsi="Calibri"/>
          <w:color w:val="1D2733"/>
          <w:sz w:val="22"/>
        </w:rPr>
        <w:t>El Cliente conserva control sobre los datos que incorpora. Para esos datos determina normalmente las finalidades y Roustix actúa como encargado conforme al acuerdo de transmisión y a instrucciones documentadas.</w:t>
      </w:r>
    </w:p>
    <w:p>
      <w:pPr>
        <w:pStyle w:val="Heading1"/>
        <w:keepNext/>
      </w:pPr>
      <w:r>
        <w:t>6. Propiedad intelectual</w:t>
      </w:r>
    </w:p>
    <w:p>
      <w:pPr>
        <w:keepLines/>
      </w:pPr>
      <w:r>
        <w:rPr>
          <w:rFonts w:ascii="Calibri" w:hAnsi="Calibri"/>
          <w:color w:val="1D2733"/>
          <w:sz w:val="22"/>
        </w:rPr>
        <w:t>Los operadores conservan los derechos sobre software, diseño, documentación, marca y mejoras. El Cliente conserva sus marcas, documentos y datos. La retroalimentación podrá usarse para mejorar el producto sin identificar al Cliente ni revelar información confidencial.</w:t>
      </w:r>
    </w:p>
    <w:p>
      <w:pPr>
        <w:pStyle w:val="Heading1"/>
        <w:keepNext/>
      </w:pPr>
      <w:r>
        <w:t>7. Disponibilidad y cambios</w:t>
      </w:r>
    </w:p>
    <w:p>
      <w:pPr>
        <w:keepLines/>
      </w:pPr>
      <w:r>
        <w:rPr>
          <w:rFonts w:ascii="Calibri" w:hAnsi="Calibri"/>
          <w:color w:val="1D2733"/>
          <w:sz w:val="22"/>
        </w:rPr>
        <w:t>La versión piloto puede requerir mantenimiento y correcciones. Interrupciones relevantes se comunicarán cuando sea razonablemente posible. RTO, RPO, disponibilidad, créditos o compensaciones solo constituyen SLA si se pactan expresamente.</w:t>
      </w:r>
    </w:p>
    <w:p>
      <w:pPr>
        <w:pStyle w:val="Heading1"/>
        <w:keepNext/>
      </w:pPr>
      <w:r>
        <w:t>8. Soporte</w:t>
      </w:r>
    </w:p>
    <w:p>
      <w:pPr>
        <w:keepLines/>
      </w:pPr>
      <w:r>
        <w:rPr>
          <w:rFonts w:ascii="Calibri" w:hAnsi="Calibri"/>
          <w:color w:val="1D2733"/>
          <w:sz w:val="22"/>
        </w:rPr>
        <w:t>El canal, horario, severidades y procedimiento de reporte serán los definidos en la Guía Operativa y el Acta de Vinculación. El Cliente no incluirá contraseñas, tokens o datos innecesarios en solicitudes.</w:t>
      </w:r>
    </w:p>
    <w:p>
      <w:pPr>
        <w:pStyle w:val="Heading1"/>
        <w:keepNext/>
      </w:pPr>
      <w:r>
        <w:t>9. Seguridad y continuidad</w:t>
      </w:r>
    </w:p>
    <w:p>
      <w:pPr>
        <w:keepLines/>
      </w:pPr>
      <w:r>
        <w:rPr>
          <w:rFonts w:ascii="Calibri" w:hAnsi="Calibri"/>
          <w:color w:val="1D2733"/>
          <w:sz w:val="22"/>
        </w:rPr>
        <w:t>Roustix mantiene controles de autenticación, permisos, aislamiento por empresa, cifrado en tránsito, auditoría, almacenamiento persistente, respaldos, monitoreo y recuperación. El Cliente responde por dispositivos, usuarios, permisos y exactitud de la información.</w:t>
      </w:r>
    </w:p>
    <w:p>
      <w:pPr>
        <w:pStyle w:val="Heading1"/>
        <w:keepNext/>
      </w:pPr>
      <w:r>
        <w:t>10. Confidencialidad</w:t>
      </w:r>
    </w:p>
    <w:p>
      <w:pPr>
        <w:keepLines/>
      </w:pPr>
      <w:r>
        <w:rPr>
          <w:rFonts w:ascii="Calibri" w:hAnsi="Calibri"/>
          <w:color w:val="1D2733"/>
          <w:sz w:val="22"/>
        </w:rPr>
        <w:t>Cada parte protegerá la información no pública recibida, la usará solo para el piloto y limitará su acceso a quienes necesiten conocerla. La obligación continuará después del cierre mientras la información conserve carácter confidencial.</w:t>
      </w:r>
    </w:p>
    <w:p>
      <w:pPr>
        <w:pStyle w:val="Heading1"/>
        <w:keepNext/>
      </w:pPr>
      <w:r>
        <w:t>11. Suspensión y terminación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El acceso podrá suspenderse para contener riesgos, uso ilícito, incumplimiento material o impago expresamente pactado, procurando aviso y oportunidad de corrección cuando sea posible. La duración y causales particulares se completan en el acta.</w:t>
      </w:r>
    </w:p>
    <w:p>
      <w:pPr>
        <w:pStyle w:val="Heading1"/>
        <w:keepNext/>
      </w:pPr>
      <w:r>
        <w:t>12. Exportación y eliminación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Al terminar se aplicará el plazo de exportación y la matriz de conservación expresamente aprobados. Las copias activas se eliminarán o anonimizarán cuando corresponda y los respaldos se depurarán por rotación, salvo obligación legal.</w:t>
      </w:r>
    </w:p>
    <w:p>
      <w:pPr>
        <w:pStyle w:val="Heading1"/>
        <w:keepNext/>
      </w:pPr>
      <w:r>
        <w:t>13. Responsabilidad</w:t>
      </w:r>
    </w:p>
    <w:p>
      <w:pPr>
        <w:keepLines/>
      </w:pPr>
      <w:r>
        <w:rPr>
          <w:rFonts w:ascii="Calibri" w:hAnsi="Calibri"/>
          <w:color w:val="1D2733"/>
          <w:sz w:val="22"/>
        </w:rPr>
        <w:t>Cada parte responde por sus obligaciones y por los daños legalmente imputables. Cualquier límite monetario, exclusión, indemnidad o distribución especial de riesgos debe negociarse expresamente y revisarse jurídicamente.</w:t>
      </w:r>
    </w:p>
    <w:p>
      <w:pPr>
        <w:pStyle w:val="Heading1"/>
        <w:keepNext/>
      </w:pPr>
      <w:r>
        <w:t>14. Ley, controversias y cambios</w:t>
      </w:r>
    </w:p>
    <w:p>
      <w:pPr>
        <w:keepLines/>
      </w:pPr>
      <w:r>
        <w:rPr>
          <w:rFonts w:ascii="Calibri" w:hAnsi="Calibri"/>
          <w:color w:val="1D2733"/>
          <w:sz w:val="22"/>
        </w:rPr>
        <w:t>Ley aplicable, jurisdicción y mecanismo de solución se completarán con asesoría jurídica. Los cambios sustanciales se informarán y la versión aplicable será la aceptada por las partes.</w:t>
      </w:r>
    </w:p>
    <w:p>
      <w:pPr>
        <w:pStyle w:val="Heading1"/>
        <w:keepNext/>
      </w:pPr>
      <w:r>
        <w:t>15. Datos pendientes antes de firma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Identificación completa de ambos operadores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y horario de soporte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 DE APROBACIÓN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Plazo de exportación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Rotación residual de respaldos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Ley / jurisdicción / conciliación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 DE REVISIÓN JURÍDICA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Tratamiento tributario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 DE REVISIÓN CONTABLE</w:t>
            </w:r>
          </w:p>
        </w:tc>
      </w:tr>
    </w:tbl>
    <w:p>
      <w:pPr>
        <w:pStyle w:val="Heading1"/>
        <w:keepNext/>
      </w:pPr>
      <w:r>
        <w:t>16.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Cliente Piloto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Operadores de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PIL-LEG-001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del Piloto SaaS Roustix</dc:title>
  <dc:subject>Condiciones provisionales del piloto</dc:subject>
  <dc:creator>Roustix</dc:creator>
  <cp:keywords>Roustix, piloto, SaaS, documento empresarial</cp:keywords>
  <dc:description>Borrador sujeto a revisión jurídica.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