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Paquete de Privacidad y Tratamiento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Política, aviso de privacidad y formato de autorización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PIL-LEG-002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sujeto a revisión jurídica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Reunir en un único archivo los textos que deben informarse y, cuando corresponda, aceptarse antes o al momento de recolectar datos personales.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DE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Pendiente crítico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Completar la identificación de ambos responsables, el canal definitivo de titulares, la lista de subencargados, los flujos internacionales y la matriz de conservación antes de publicar.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Parte A. Política de Tratamiento y Protección</w:t>
      </w:r>
    </w:p>
    <w:p>
      <w:pPr>
        <w:pStyle w:val="Heading2"/>
        <w:keepNext/>
      </w:pPr>
      <w:r>
        <w:t>1. Responsable</w:t>
      </w:r>
    </w:p>
    <w:p>
      <w:pPr>
        <w:keepLines/>
      </w:pPr>
      <w:r>
        <w:rPr>
          <w:rFonts w:ascii="Calibri" w:hAnsi="Calibri"/>
          <w:color w:val="1D2733"/>
          <w:sz w:val="22"/>
        </w:rPr>
        <w:t>Mientras se constituye la sociedad, los responsables serán las personas naturales operadoras identificadas en la versión firmada. Nombre comercial: Roustix. Sitio: https://roustix.com. Canal provisional: soporte.roustix@hotmail.com.</w:t>
      </w:r>
    </w:p>
    <w:p>
      <w:pPr>
        <w:pStyle w:val="Heading2"/>
        <w:keepNext/>
      </w:pPr>
      <w:r>
        <w:t>2. Alcance</w:t>
      </w:r>
    </w:p>
    <w:p>
      <w:pPr>
        <w:keepLines/>
      </w:pPr>
      <w:r>
        <w:rPr>
          <w:rFonts w:ascii="Calibri" w:hAnsi="Calibri"/>
          <w:color w:val="1D2733"/>
          <w:sz w:val="22"/>
        </w:rPr>
        <w:t>Aplica a datos recolectados mediante registro, plataforma SaaS, soporte, comunicaciones, facturación y piloto. En los datos cargados por una empresa cliente, esta normalmente actúa como responsable y Roustix como encargado.</w:t>
      </w:r>
    </w:p>
    <w:p>
      <w:pPr>
        <w:pStyle w:val="Heading2"/>
        <w:keepNext/>
      </w:pPr>
      <w:r>
        <w:t>3. Categorías</w:t>
      </w:r>
    </w:p>
    <w:p>
      <w:pPr>
        <w:keepLines/>
      </w:pPr>
      <w:r>
        <w:rPr>
          <w:rFonts w:ascii="Calibri" w:hAnsi="Calibri"/>
          <w:color w:val="1D2733"/>
          <w:sz w:val="22"/>
        </w:rPr>
        <w:t>Identificación y contacto; cargo, área y empresa; autenticación, sesiones, IP y auditoría; información contractual y de soporte; registros operativos; fotografías, informes, evidencias y datos técnicos.</w:t>
      </w:r>
    </w:p>
    <w:p>
      <w:pPr>
        <w:pStyle w:val="Heading2"/>
        <w:keepNext/>
      </w:pPr>
      <w:r>
        <w:t>4. Finalidades</w:t>
      </w:r>
    </w:p>
    <w:p>
      <w:pPr>
        <w:keepLines/>
      </w:pPr>
      <w:r>
        <w:rPr>
          <w:rFonts w:ascii="Calibri" w:hAnsi="Calibri"/>
          <w:color w:val="1D2733"/>
          <w:sz w:val="22"/>
        </w:rPr>
        <w:t>Crear y proteger cuentas; prestar módulos; administrar permisos; enviar comunicaciones necesarias; atender soporte y derechos; respaldar y recuperar; auditar; prevenir abuso; mejorar seguridad y rendimiento; cumplir obligaciones legales.</w:t>
      </w:r>
    </w:p>
    <w:p>
      <w:pPr>
        <w:pStyle w:val="Heading2"/>
        <w:keepNext/>
      </w:pPr>
      <w:r>
        <w:t>5. Autorización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Cuando sea necesaria será previa, expresa e informada y se conservará evidencia de versión, fecha, identidad y medio. Una casilla electrónica no estará premarcada.</w:t>
      </w:r>
    </w:p>
    <w:p>
      <w:pPr>
        <w:pStyle w:val="Heading2"/>
        <w:keepNext/>
      </w:pPr>
      <w:r>
        <w:t>6. Derechos</w:t>
      </w:r>
    </w:p>
    <w:p>
      <w:pPr>
        <w:keepLines/>
      </w:pPr>
      <w:r>
        <w:rPr>
          <w:rFonts w:ascii="Calibri" w:hAnsi="Calibri"/>
          <w:color w:val="1D2733"/>
          <w:sz w:val="22"/>
        </w:rPr>
        <w:t>Conocer, actualizar, rectificar y acceder; solicitar prueba de autorización; conocer el uso; presentar consultas o reclamos; revocar o solicitar supresión cuando proceda; acudir a la SIC después del trámite aplicable.</w:t>
      </w:r>
    </w:p>
    <w:p>
      <w:pPr>
        <w:pStyle w:val="Heading2"/>
        <w:keepNext/>
      </w:pPr>
      <w:r>
        <w:t>7. Consultas y reclamos</w:t>
      </w:r>
    </w:p>
    <w:p>
      <w:pPr>
        <w:keepLines/>
      </w:pPr>
      <w:r>
        <w:rPr>
          <w:rFonts w:ascii="Calibri" w:hAnsi="Calibri"/>
          <w:color w:val="1D2733"/>
          <w:sz w:val="22"/>
        </w:rPr>
        <w:t>Se verificará la identidad antes de revelar o modificar datos. Consultas: hasta 10 días hábiles, prorrogables por 5; reclamos: hasta 15 días hábiles, prorrogables por 8, conforme al régimen aplicable.</w:t>
      </w:r>
    </w:p>
    <w:p>
      <w:pPr>
        <w:pStyle w:val="Heading2"/>
        <w:keepNext/>
      </w:pPr>
      <w:r>
        <w:t>8. Seguridad</w:t>
      </w:r>
    </w:p>
    <w:p>
      <w:pPr>
        <w:keepLines/>
      </w:pPr>
      <w:r>
        <w:rPr>
          <w:rFonts w:ascii="Calibri" w:hAnsi="Calibri"/>
          <w:color w:val="1D2733"/>
          <w:sz w:val="22"/>
        </w:rPr>
        <w:t>Se aplican controles proporcionales de acceso, aislamiento por tenant, cifrado en tránsito, credenciales protegidas, almacenamiento de objetos, auditoría, respaldos, monitoreo y gestión de incidentes.</w:t>
      </w:r>
    </w:p>
    <w:p>
      <w:pPr>
        <w:pStyle w:val="Heading2"/>
        <w:keepNext/>
      </w:pPr>
      <w:r>
        <w:t>9. Proveedores</w:t>
      </w:r>
    </w:p>
    <w:p>
      <w:pPr>
        <w:keepLines/>
      </w:pPr>
      <w:r>
        <w:rPr>
          <w:rFonts w:ascii="Calibri" w:hAnsi="Calibri"/>
          <w:color w:val="1D2733"/>
          <w:sz w:val="22"/>
        </w:rPr>
        <w:t>Pueden intervenir proveedores de alojamiento, base de datos, almacenamiento, correo y observabilidad. La versión final identificará entidad, servicio, región, datos tratados y mecanismo de información de cambios.</w:t>
      </w:r>
    </w:p>
    <w:p>
      <w:pPr>
        <w:pStyle w:val="Heading2"/>
        <w:keepNext/>
      </w:pPr>
      <w:r>
        <w:t>10. Conservación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Los datos se conservarán durante la relación y por plazos necesarios para finalidades, obligaciones legales, seguridad, respaldo o defensa de derechos. Después se eliminarán o anonimizarán de manera segura.</w:t>
      </w:r>
    </w:p>
    <w:p>
      <w:pPr>
        <w:pStyle w:val="Heading2"/>
        <w:keepNext/>
      </w:pPr>
      <w:r>
        <w:t>11. Cookies</w:t>
      </w:r>
    </w:p>
    <w:p>
      <w:pPr>
        <w:keepLines/>
      </w:pPr>
      <w:r>
        <w:rPr>
          <w:rFonts w:ascii="Calibri" w:hAnsi="Calibri"/>
          <w:color w:val="1D2733"/>
          <w:sz w:val="22"/>
        </w:rPr>
        <w:t>Solo se contemplan cookies necesarias para sesión, autenticación, seguridad y preferencias. Analítica o publicidad no esencial requerirá evaluación y, cuando corresponda, consentimiento.</w:t>
      </w:r>
    </w:p>
    <w:p>
      <w:pPr>
        <w:pStyle w:val="Heading2"/>
        <w:keepNext/>
      </w:pPr>
      <w:r>
        <w:t>12. Vigencia</w:t>
      </w:r>
    </w:p>
    <w:p>
      <w:pPr>
        <w:keepLines/>
      </w:pPr>
      <w:r>
        <w:rPr>
          <w:rFonts w:ascii="Calibri" w:hAnsi="Calibri"/>
          <w:color w:val="1D2733"/>
          <w:sz w:val="22"/>
        </w:rPr>
        <w:t>La versión final indicará fecha de entrada en vigor y se comunicará cualquier cambio sustancial. Si se constituye la sociedad operadora, se actualizará la identidad del responsable.</w:t>
      </w:r>
    </w:p>
    <w:p>
      <w:pPr>
        <w:pStyle w:val="Heading1"/>
        <w:keepNext/>
      </w:pPr>
      <w:r>
        <w:t>Parte B. Aviso de Privacidad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Texto corto para formularios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Roustix tratará los datos suministrados para registrar y proteger la cuenta, prestar la plataforma, gestionar usuarios y permisos, enviar comunicaciones necesarias, brindar soporte, mantener seguridad y auditoría y administrar la relación contractual. El titular puede ejercer sus derechos mediante el canal informado. La política completa estará disponible en: ________________________________.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Parte C. Autorización del titular</w:t>
      </w:r>
    </w:p>
    <w:p>
      <w:pPr>
        <w:keepLines/>
      </w:pPr>
      <w:r>
        <w:rPr>
          <w:rFonts w:ascii="Calibri" w:hAnsi="Calibri"/>
          <w:color w:val="1D2733"/>
          <w:sz w:val="22"/>
        </w:rPr>
        <w:t>Declaro que recibí información clara sobre el responsable, las finalidades, el carácter facultativo de respuestas sobre datos sensibles, mis derechos y el canal para ejercerlos. Cuando la autorización sea necesaria, autorizo el tratamiento descrito en la versión identificada a continuación.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Titular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Identificación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Correo / contacto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Finalidades aceptadas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Cuenta y servicio  ☐ Soporte  ☐ Seguridad  ☐ Comunicaciones comerciales separadas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 de política y aviso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Medio de autorización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Firma  ☐ Casilla electrónica no premarcada  ☐ Otro: 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Fecha, hora y evidencia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keepLines/>
      </w:pPr>
      <w:r>
        <w:rPr>
          <w:rFonts w:ascii="Calibri" w:hAnsi="Calibri"/>
          <w:color w:val="1D2733"/>
          <w:sz w:val="22"/>
        </w:rPr>
        <w:t>La autorización para comunicaciones comerciales debe ser separable y revocable; la negativa no debe impedir funciones esenciales que no dependan de esa finalidad.</w:t>
      </w:r>
    </w:p>
    <w:p>
      <w:pPr>
        <w:pStyle w:val="Heading1"/>
        <w:keepNext/>
      </w:pPr>
      <w:r>
        <w:t>Referencias normativas para revisión</w:t>
      </w:r>
    </w:p>
    <w:p>
      <w:pPr>
        <w:keepLines/>
      </w:pPr>
      <w:r>
        <w:rPr>
          <w:rFonts w:ascii="Calibri" w:hAnsi="Calibri"/>
          <w:color w:val="1D2733"/>
          <w:sz w:val="22"/>
        </w:rPr>
        <w:t>Constitución Política de Colombia, artículo 15; Ley Estatutaria 1581 de 2012; Decreto 1074 de 2015 y demás normas aplicables. La versión definitiva debe ser revisada por asesor jurídico colombiano.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Titular / representante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Responsable que recibe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PIL-LEG-002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 Privacidad y Tratamiento Roustix</dc:title>
  <dc:subject>Política, aviso y autorización</dc:subject>
  <dc:creator>Roustix</dc:creator>
  <cp:keywords>Roustix, piloto, SaaS, documento empresarial</cp:keywords>
  <dc:description>Borrador sujeto a revisión jurídica.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