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Contrato de Servicio SaaS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Continuidad comercial posterior al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SAA-LEG-001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sujeto a revisión jurídica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Formalizar la continuidad del Cliente después del piloto. Solo debe firmarse tras completar datos, condiciones económicas, anexos y revisión jurídica, contable y tributaria.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D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No usar sin revisión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Este modelo no fija todavía topes de responsabilidad, jurisdicción, impuestos ni SLA definitivo. Esos puntos requieren decisión de los socios y asesoría profesional antes de ofrecer el servicio.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Partes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Cliente / razón social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Representante autorizado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Domicilio y contacto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Operador 1 de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Nombre, identificación, domicilio y contacto: 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Operador 2 de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Nombre, identificación, domicilio y contacto: ______________________________</w:t>
            </w:r>
          </w:p>
        </w:tc>
      </w:tr>
    </w:tbl>
    <w:p>
      <w:pPr>
        <w:pStyle w:val="Heading1"/>
        <w:keepNext/>
      </w:pPr>
      <w:r>
        <w:t>2. Objeto</w:t>
      </w:r>
    </w:p>
    <w:p>
      <w:pPr>
        <w:keepLines/>
      </w:pPr>
      <w:r>
        <w:rPr>
          <w:rFonts w:ascii="Calibri" w:hAnsi="Calibri"/>
          <w:color w:val="1D2733"/>
          <w:sz w:val="22"/>
        </w:rPr>
        <w:t>La parte prestadora habilita acceso empresarial no exclusivo a Roustix, bajo modalidad SaaS, para los módulos, usuarios, sedes, almacenamiento y período definidos en la orden o anexo comercial.</w:t>
      </w:r>
    </w:p>
    <w:p>
      <w:pPr>
        <w:pStyle w:val="Heading1"/>
        <w:keepNext/>
      </w:pPr>
      <w:r>
        <w:t>3. Documentos del contrato</w:t>
      </w:r>
    </w:p>
    <w:p>
      <w:pPr>
        <w:keepLines/>
      </w:pPr>
      <w:r>
        <w:rPr>
          <w:rFonts w:ascii="Calibri" w:hAnsi="Calibri"/>
          <w:color w:val="1D2733"/>
          <w:sz w:val="22"/>
        </w:rPr>
        <w:t>Integran el contrato la orden comercial, anexos de módulos y precios, política y acuerdo de datos, guía operativa, SLA cuando exista y modificaciones firmadas.</w:t>
      </w:r>
    </w:p>
    <w:p>
      <w:pPr>
        <w:pStyle w:val="Heading1"/>
        <w:keepNext/>
      </w:pPr>
      <w:r>
        <w:t>4. Vigencia y renovación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 vigencia inicial, fecha de inicio, renovación, preaviso y permanencia se completan en la orden comercial. La continuidad no se presume cuando exista una condición pendiente.</w:t>
      </w:r>
    </w:p>
    <w:p>
      <w:pPr>
        <w:pStyle w:val="Heading1"/>
        <w:keepNext/>
      </w:pPr>
      <w:r>
        <w:t>5. Precio, impuestos y pago</w:t>
      </w:r>
    </w:p>
    <w:p>
      <w:pPr>
        <w:keepLines/>
      </w:pPr>
      <w:r>
        <w:rPr>
          <w:rFonts w:ascii="Calibri" w:hAnsi="Calibri"/>
          <w:color w:val="1D2733"/>
          <w:sz w:val="22"/>
        </w:rPr>
        <w:t>El Cliente pagará los valores expresamente pactados. Facturación, impuestos, vencimiento, mora, ajustes y medios de pago deben revisarse conforme a la situación legal y tributaria de la parte prestadora.</w:t>
      </w:r>
    </w:p>
    <w:p>
      <w:pPr>
        <w:pStyle w:val="Heading1"/>
        <w:keepNext/>
      </w:pPr>
      <w:r>
        <w:t>6. Acceso y uso</w:t>
      </w:r>
    </w:p>
    <w:p>
      <w:pPr>
        <w:keepLines/>
      </w:pPr>
      <w:r>
        <w:rPr>
          <w:rFonts w:ascii="Calibri" w:hAnsi="Calibri"/>
          <w:color w:val="1D2733"/>
          <w:sz w:val="22"/>
        </w:rPr>
        <w:t>El Cliente administrará usuarios y roles, protegerá credenciales, usará la plataforma de forma lícita y no intentará eludir controles, acceder a otros tenants, introducir código malicioso o explotar la propiedad intelectual.</w:t>
      </w:r>
    </w:p>
    <w:p>
      <w:pPr>
        <w:pStyle w:val="Heading1"/>
        <w:keepNext/>
      </w:pPr>
      <w:r>
        <w:t>7. Soporte y niveles de servicio</w:t>
      </w:r>
    </w:p>
    <w:p>
      <w:pPr>
        <w:keepLines/>
      </w:pPr>
      <w:r>
        <w:rPr>
          <w:rFonts w:ascii="Calibri" w:hAnsi="Calibri"/>
          <w:color w:val="1D2733"/>
          <w:sz w:val="22"/>
        </w:rPr>
        <w:t>Canales, horario, severidades, mantenimiento, objetivos de respuesta y disponibilidad se definen en la orden y, si aplica, en un SLA. La guía operativa regula el procedimiento, no compensaciones.</w:t>
      </w:r>
    </w:p>
    <w:p>
      <w:pPr>
        <w:pStyle w:val="Heading1"/>
        <w:keepNext/>
      </w:pPr>
      <w:r>
        <w:t>8. Seguridad y continuidad</w:t>
      </w:r>
    </w:p>
    <w:p>
      <w:pPr>
        <w:keepLines/>
      </w:pPr>
      <w:r>
        <w:rPr>
          <w:rFonts w:ascii="Calibri" w:hAnsi="Calibri"/>
          <w:color w:val="1D2733"/>
          <w:sz w:val="22"/>
        </w:rPr>
        <w:t>Roustix mantendrá controles razonables de autenticación, permisos, aislamiento, cifrado en tránsito, auditoría, almacenamiento persistente, monitoreo, respaldo y recuperación. El Cliente aplicará controles en sus dispositivos y personal.</w:t>
      </w:r>
    </w:p>
    <w:p>
      <w:pPr>
        <w:pStyle w:val="Heading1"/>
        <w:keepNext/>
      </w:pPr>
      <w:r>
        <w:t>9. Datos personales</w:t>
      </w:r>
    </w:p>
    <w:p>
      <w:pPr>
        <w:keepLines/>
      </w:pPr>
      <w:r>
        <w:rPr>
          <w:rFonts w:ascii="Calibri" w:hAnsi="Calibri"/>
          <w:color w:val="1D2733"/>
          <w:sz w:val="22"/>
        </w:rPr>
        <w:t>Las partes cumplirán los instrumentos de privacidad y transmisión. El Cliente responde por la licitud y minimización de los datos que incorpora; Roustix seguirá instrucciones documentadas como encargado cuando corresponda.</w:t>
      </w:r>
    </w:p>
    <w:p>
      <w:pPr>
        <w:pStyle w:val="Heading1"/>
        <w:keepNext/>
      </w:pPr>
      <w:r>
        <w:t>10. Confidencialidad</w:t>
      </w:r>
    </w:p>
    <w:p>
      <w:pPr>
        <w:keepLines/>
      </w:pPr>
      <w:r>
        <w:rPr>
          <w:rFonts w:ascii="Calibri" w:hAnsi="Calibri"/>
          <w:color w:val="1D2733"/>
          <w:sz w:val="22"/>
        </w:rPr>
        <w:t>Cada parte protegerá información no pública con medidas razonables, limitará su uso al contrato y notificará incidentes relevantes. La obligación sobrevivirá mientras la información conserve carácter confidencial.</w:t>
      </w:r>
    </w:p>
    <w:p>
      <w:pPr>
        <w:pStyle w:val="Heading1"/>
        <w:keepNext/>
      </w:pPr>
      <w:r>
        <w:t>11. Propiedad intelectual</w:t>
      </w:r>
    </w:p>
    <w:p>
      <w:pPr>
        <w:keepLines/>
      </w:pPr>
      <w:r>
        <w:rPr>
          <w:rFonts w:ascii="Calibri" w:hAnsi="Calibri"/>
          <w:color w:val="1D2733"/>
          <w:sz w:val="22"/>
        </w:rPr>
        <w:t>Roustix y sus componentes permanecen en cabeza de sus titulares. El Cliente conserva sus datos y contenidos. Ninguna disposición transfiere marcas, código o documentación salvo licencia expresa.</w:t>
      </w:r>
    </w:p>
    <w:p>
      <w:pPr>
        <w:pStyle w:val="Heading1"/>
        <w:keepNext/>
      </w:pPr>
      <w:r>
        <w:t>12. Subcontratación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 parte prestadora podrá usar proveedores necesarios de infraestructura, almacenamiento, correo y observabilidad, manteniendo obligaciones contractuales y de datos aplicables.</w:t>
      </w:r>
    </w:p>
    <w:p>
      <w:pPr>
        <w:pStyle w:val="Heading1"/>
        <w:keepNext/>
      </w:pPr>
      <w:r>
        <w:t>13. Suspensión</w:t>
      </w:r>
    </w:p>
    <w:p>
      <w:pPr>
        <w:keepLines/>
      </w:pPr>
      <w:r>
        <w:rPr>
          <w:rFonts w:ascii="Calibri" w:hAnsi="Calibri"/>
          <w:color w:val="1D2733"/>
          <w:sz w:val="22"/>
        </w:rPr>
        <w:t>Podrá suspenderse acceso para contener riesgos, cumplir autoridad, atender uso ilícito, incumplimiento material o mora pactada, procurando proporcionalidad, aviso y oportunidad de subsanar cuando sea viable.</w:t>
      </w:r>
    </w:p>
    <w:p>
      <w:pPr>
        <w:pStyle w:val="Heading1"/>
        <w:keepNext/>
      </w:pPr>
      <w:r>
        <w:t>14. Terminación y salida</w:t>
      </w:r>
    </w:p>
    <w:p>
      <w:pPr>
        <w:keepLines/>
      </w:pPr>
      <w:r>
        <w:rPr>
          <w:rFonts w:ascii="Calibri" w:hAnsi="Calibri"/>
          <w:color w:val="1D2733"/>
          <w:sz w:val="22"/>
        </w:rPr>
        <w:t>Al terminar se revocarán accesos y se aplicarán exportación, conservación y eliminación conforme a la orden, el acuerdo de datos y la constancia de salida. Las obligaciones sobrevivientes continuarán.</w:t>
      </w:r>
    </w:p>
    <w:p>
      <w:pPr>
        <w:pStyle w:val="Heading1"/>
        <w:keepNext/>
      </w:pPr>
      <w:r>
        <w:t>15. Garantías y responsabilidad</w:t>
      </w:r>
    </w:p>
    <w:p>
      <w:pPr>
        <w:keepLines/>
      </w:pPr>
      <w:r>
        <w:rPr>
          <w:rFonts w:ascii="Calibri" w:hAnsi="Calibri"/>
          <w:color w:val="1D2733"/>
          <w:sz w:val="22"/>
        </w:rPr>
        <w:t>Las garantías, exclusiones permitidas, topes, indemnidades y seguros se completarán tras análisis jurídico y comercial. Nada excluirá responsabilidades que legalmente no puedan limitarse.</w:t>
      </w:r>
    </w:p>
    <w:p>
      <w:pPr>
        <w:pStyle w:val="Heading1"/>
        <w:keepNext/>
      </w:pPr>
      <w:r>
        <w:t>16. Fuerza mayor</w:t>
      </w:r>
    </w:p>
    <w:p>
      <w:pPr>
        <w:keepLines/>
      </w:pPr>
      <w:r>
        <w:rPr>
          <w:rFonts w:ascii="Calibri" w:hAnsi="Calibri"/>
          <w:color w:val="1D2733"/>
          <w:sz w:val="22"/>
        </w:rPr>
        <w:t>Ninguna parte responderá por incumplimientos causados exclusivamente por eventos irresistibles e imprevisibles en los términos legales, siempre que mitigue y comunique oportunamente.</w:t>
      </w:r>
    </w:p>
    <w:p>
      <w:pPr>
        <w:pStyle w:val="Heading1"/>
        <w:keepNext/>
      </w:pPr>
      <w:r>
        <w:t>17. Notificaciones</w:t>
      </w:r>
    </w:p>
    <w:p>
      <w:pPr>
        <w:keepLines/>
      </w:pPr>
      <w:r>
        <w:rPr>
          <w:rFonts w:ascii="Calibri" w:hAnsi="Calibri"/>
          <w:color w:val="1D2733"/>
          <w:sz w:val="22"/>
        </w:rPr>
        <w:t>Las direcciones contractuales y canales autorizados constarán en la carátula. Cambios deberán notificarse por un medio verificable.</w:t>
      </w:r>
    </w:p>
    <w:p>
      <w:pPr>
        <w:pStyle w:val="Heading1"/>
        <w:keepNext/>
      </w:pPr>
      <w:r>
        <w:t>18. Ley y controversias</w:t>
      </w:r>
    </w:p>
    <w:p>
      <w:pPr>
        <w:keepLines/>
      </w:pPr>
      <w:r>
        <w:rPr>
          <w:rFonts w:ascii="Calibri" w:hAnsi="Calibri"/>
          <w:color w:val="1D2733"/>
          <w:sz w:val="22"/>
        </w:rPr>
        <w:t>Ley aplicable, jurisdicción, negociación directa, conciliación u otro mecanismo se definirán con asesoría jurídica antes de firmar.</w:t>
      </w:r>
    </w:p>
    <w:p>
      <w:pPr>
        <w:pStyle w:val="Heading1"/>
        <w:keepNext/>
      </w:pPr>
      <w:r>
        <w:t>19. Integridad y cambios</w:t>
      </w:r>
    </w:p>
    <w:p>
      <w:pPr>
        <w:keepLines/>
      </w:pPr>
      <w:r>
        <w:rPr>
          <w:rFonts w:ascii="Calibri" w:hAnsi="Calibri"/>
          <w:color w:val="1D2733"/>
          <w:sz w:val="22"/>
        </w:rPr>
        <w:t>El contrato y anexos contienen el acuerdo aplicable. Las modificaciones requieren forma verificable y aceptación de representantes autorizados.</w:t>
      </w:r>
    </w:p>
    <w:p>
      <w:pPr>
        <w:pStyle w:val="Heading1"/>
        <w:keepNext/>
      </w:pPr>
      <w:r>
        <w:t>20. Orden comercial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Start  ☐ Business  ☐ Enterprise  ☐ Personalizado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Precio / impuestos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 COP  ·  Impuestos: 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Usuarios / sedes / módulos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Almacenamiento / add-ons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Inicio / vigencia / renovación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Facturación / vencimiento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Soporte / SLA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Preaviso de terminación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Exportación / conservación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21. Aprobaciones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600"/>
        <w:gridCol w:w="216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Revisión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Identidad jurídica de la parte prestadora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Jurídica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Facturación e impuestos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Contable / tributaria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Responsabilidad y seguros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Jurídica / comercial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SLA y compensaciones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Operación / jurídica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Ley y controversias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Jurídica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Conservación y eliminación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Datos / jurídica</w:t>
            </w:r>
          </w:p>
        </w:tc>
      </w:tr>
    </w:tbl>
    <w:p>
      <w:pPr>
        <w:pStyle w:val="Heading1"/>
        <w:keepNext/>
      </w:pPr>
      <w:r>
        <w:t>22. Firmas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Prestador de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SAA-LEG-001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Servicio SaaS Roustix</dc:title>
  <dc:subject>Continuidad posterior al piloto</dc:subject>
  <dc:creator>Roustix</dc:creator>
  <cp:keywords>Roustix, piloto, SaaS, documento empresarial</cp:keywords>
  <dc:description>Borrador sujeto a revisión jurídica.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