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Propuesta Comercial Roustix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Gestión inteligente de activos · alcance, inversión y activación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COM-PRO-001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comercial para completar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Presentar al Cliente la solución propuesta, el plan, el alcance, la inversión y las condiciones necesarias para activar el servicio SaaS Roustix.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Cliente y oportunidad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 / razón social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NIT / identificación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Contacto / cargo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Sector / vertical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Manufactura  ☐ Educación  ☐ Salud  ☐ Hotelería  ☐ Transporte  ☐ Otro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Necesidad prioritaria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de presentación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Vigencia de la propuesta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 calendario</w:t>
            </w:r>
          </w:p>
        </w:tc>
      </w:tr>
    </w:tbl>
    <w:p>
      <w:pPr>
        <w:pStyle w:val="Heading1"/>
        <w:keepNext/>
      </w:pPr>
      <w:r>
        <w:t>2. Solución propuesta</w:t>
      </w:r>
    </w:p>
    <w:p>
      <w:pPr>
        <w:keepNext/>
        <w:keepLines/>
      </w:pPr>
      <w:r>
        <w:rPr>
          <w:rFonts w:ascii="Calibri" w:hAnsi="Calibri"/>
          <w:color w:val="1D2733"/>
          <w:sz w:val="22"/>
        </w:rPr>
        <w:t>Roustix centraliza la gestión de activos, mantenimiento, incidencias, órdenes de trabajo, jornadas, repuestos, costos, documentos y trazabilidad. La configuración se adapta al sector, los módulos contratados y los procesos autorizados por el Cliente.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100"/>
        <w:gridCol w:w="52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Selección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Gestión de activos y hoja de vida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Inventario técnico, documentos, imágenes e historial consolidado.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Mantenimiento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Preventivos, correctivos, OT, jornadas, técnicos, repuestos y costos.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Incidencias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Reporte, asignación, diagnóstico, conversión a OT y cierre trazable.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Inventario y repuestos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Existencias, entradas, proveedores y consumo en mantenimiento.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API y webhooks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Integración según plan, alcance técnico y cotización aprobada.</w:t>
            </w:r>
          </w:p>
        </w:tc>
      </w:tr>
    </w:tbl>
    <w:p>
      <w:pPr>
        <w:pStyle w:val="Heading1"/>
        <w:keepNext/>
      </w:pPr>
      <w:r>
        <w:t>3. Planes comerciales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50"/>
        <w:gridCol w:w="1050"/>
        <w:gridCol w:w="900"/>
        <w:gridCol w:w="1650"/>
        <w:gridCol w:w="1700"/>
        <w:gridCol w:w="11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Mensualidad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Usuarios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Sedes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Módulos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Almacenamiento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Selección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Start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$1.000.000 COP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 principal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 GB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Business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$1.500.000 COP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3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Hasta 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 GB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Enterprise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Personalizado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Personalizadas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Todos / alcance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20 GB ampliables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Referencia comercial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Start y Business usan los precios de lista vigentes. Enterprise se cotiza según módulos, capacidad, integraciones, soporte y nivel de servicio. Los impuestos aplicables se confirman antes de la aceptación definitiva.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Alcance incluido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Condición del servicio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Creación del tenant y configuración remota del alcance contratado.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Usuarios, sedes y módulos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el plan seleccionado y las condiciones especiales aprobadas.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Ilimitados dentro del uso razonable y la capacidad técnica contratada.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Seguridad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HTTPS, autenticación, roles, aislamiento entre empresas y auditoría.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Archivos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 persistente sujeto a la cuota efectiva del plan.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Respaldos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Controles de respaldo y recuperación conforme a las condiciones vigentes.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Email para Start; chat para Business; canal dedicado según Orden para Enterprise.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 inicial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Sesión remota para administradores y responsables según alcance.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Actualizaciones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Correcciones y mejoras generales durante la vigencia del servicio.</w:t>
            </w:r>
          </w:p>
        </w:tc>
      </w:tr>
    </w:tbl>
    <w:p>
      <w:pPr>
        <w:pStyle w:val="Heading1"/>
        <w:keepNext/>
      </w:pPr>
      <w:r>
        <w:t>5. Complementos y servicios opcionales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2200"/>
        <w:gridCol w:w="3360"/>
      </w:tblGrid>
      <w:tr>
        <w:trPr>
          <w:cantSplit/>
          <w:tblHeader w:val="true"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Complemento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Referencia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 +2 GB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ADD-STG-2G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$100.000 COP / mes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 +5 GB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ADD-STG-5G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$220.000 COP / mes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 +10 GB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ADD-STG-10G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$400.000 COP / mes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 adicionales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ADD-USR-COT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 adicional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ADD-TRN-COT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Implementación en sitio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ADD-ONB-SITE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</w:tr>
      <w:tr>
        <w:trPr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Integraciones especiales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ADD-INT-COT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cotización</w:t>
            </w:r>
          </w:p>
        </w:tc>
      </w:tr>
    </w:tbl>
    <w:p>
      <w:pPr>
        <w:pStyle w:val="Heading1"/>
        <w:keepNext/>
      </w:pPr>
      <w:r>
        <w:t>6. Ruta de activación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200"/>
        <w:gridCol w:w="47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Entregable / criterio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Aceptación comercial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Ambas partes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Propuesta, contrato y acta de servicio aceptados.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Preparación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Cliente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Responsables, datos iniciales y alcance confirmados.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Configuración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Roustix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Tenant, plan, sedes, módulos y permisos configurados.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Ambas partes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Administradores y perfiles clave orientados.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Roustix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Gate de activación aprobado y servicio habilitado.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Seguimiento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Ambas partes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Revisión de adopción en la fecha acordada.</w:t>
            </w:r>
          </w:p>
        </w:tc>
      </w:tr>
    </w:tbl>
    <w:p>
      <w:pPr>
        <w:pStyle w:val="Heading1"/>
        <w:keepNext/>
      </w:pPr>
      <w:r>
        <w:t>7. Resumen económico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Plan seleccionado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Start  ☐ Business  ☐ Enterprise  ☐ Personalizado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Mensualidad base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Complementos mensuales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Servicios de pago único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Descuento / condición especial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Impuestos aplicables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Total periódico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Periodicidad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Mensual anticipada  ☐ Otra: 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estimada de activación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>
      <w:pPr>
        <w:pStyle w:val="Heading1"/>
        <w:keepNext/>
      </w:pPr>
      <w:r>
        <w:t>8 — Condiciones de la propuesta</w:t>
      </w:r>
    </w:p>
    <w:p>
      <w:pPr>
        <w:keepLines/>
      </w:pPr>
      <w:r>
        <w:rPr>
          <w:rFonts w:ascii="Calibri" w:hAnsi="Calibri"/>
          <w:color w:val="1D2733"/>
          <w:sz w:val="22"/>
        </w:rPr>
        <w:t>La contratación queda integrada por la propuesta aceptada, el Contrato SaaS, el Acta de Servicio y Selección de Plan, los documentos de privacidad y transmisión aplicables, la Política de Soporte y el SLA únicamente cuando se anexe expresamente.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Validación previa a la firma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La identidad de la parte prestadora, la facturación, los impuestos, la vigencia, la renovación, la terminación y cualquier condición especial deben quedar completos y revisados antes de emitir cobros o activar el servicio.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Aceptación comercial</w:t>
      </w:r>
    </w:p>
    <w:p>
      <w:pPr>
        <w:keepLines/>
      </w:pPr>
      <w:r>
        <w:rPr>
          <w:rFonts w:ascii="Calibri" w:hAnsi="Calibri"/>
          <w:color w:val="1D2733"/>
          <w:sz w:val="22"/>
        </w:rPr>
        <w:t>La firma confirma la aceptación de esta propuesta y autoriza la preparación del Acta de Servicio. La activación solo procede cuando se complete el gate contractual, operativo y de pago aplicable.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Empresa Cliente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Prestador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COM-PRO-001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Roustix</dc:title>
  <dc:subject>Alcance, inversión y activación del servicio SaaS</dc:subject>
  <dc:creator>Roustix</dc:creator>
  <cp:keywords>Roustix, SaaS, propuesta comercial, activos, mantenimiento</cp:keywords>
  <dc:description>Plantilla comercial corporativa para completar.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