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2377440" cy="731520"/>
            <wp:docPr id="1" name="Picture 1" title="Roustix" descr="Logotipo corporativo de Roustix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stix-logo-doc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Calibri" w:hAnsi="Calibri"/>
          <w:b/>
          <w:color w:val="0A2540"/>
          <w:sz w:val="50"/>
        </w:rPr>
        <w:t>Acuerdo de Nivel de Servicio (SLA)</w:t>
      </w:r>
    </w:p>
    <w:p>
      <w:pPr>
        <w:spacing w:after="260"/>
      </w:pPr>
      <w:r>
        <w:rPr>
          <w:rFonts w:ascii="Calibri" w:hAnsi="Calibri"/>
          <w:color w:val="5B6472"/>
          <w:sz w:val="24"/>
        </w:rPr>
        <w:t>Objetivos propuestos de disponibilidad y respuesta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3000"/>
        <w:gridCol w:w="1300"/>
        <w:gridCol w:w="3760"/>
      </w:tblGrid>
      <w:tr>
        <w:trPr>
          <w:cantSplit/>
        </w:trPr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Código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RTX-SLA-001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Versión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0.1.0</w:t>
            </w:r>
          </w:p>
        </w:tc>
      </w:tr>
      <w:tr>
        <w:trPr>
          <w:cantSplit/>
        </w:trPr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Estado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Borrador no vinculante · pendiente de confirmación operativa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Fecha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 / ____ / ______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3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D2733"/>
                <w:sz w:val="19"/>
              </w:rPr>
              <w:t>Propósito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color w:val="1D2733"/>
                <w:sz w:val="19"/>
              </w:rPr>
              <w:t>Definir objetivos de disponibilidad, prioridades, mantenimiento y exclusiones cuando el Contrato u Orden anexe expresamente este SLA.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D2733"/>
                <w:sz w:val="19"/>
              </w:rPr>
              <w:t>Advertencia obligatoria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color w:val="1D2733"/>
                <w:sz w:val="19"/>
              </w:rPr>
              <w:t>Los porcentajes y tiempos son objetivos propuestos. Este documento no debe firmarse ni presentarse como compromiso hasta que Roustix confirme su capacidad operativa. Sin anexo expreso y activación escrita, no genera derechos ni créditos.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1. Objeto</w:t>
      </w:r>
    </w:p>
    <w:p>
      <w:pPr>
        <w:keepLines/>
      </w:pPr>
      <w:r>
        <w:rPr>
          <w:rFonts w:ascii="Calibri" w:hAnsi="Calibri"/>
          <w:color w:val="1D2733"/>
          <w:sz w:val="22"/>
        </w:rPr>
        <w:t>Definir objetivos de disponibilidad, ventanas de soporte reforzado, prioridades de incidente, mantenimiento programado y exclusiones para el Cliente que tenga este SLA anexado.</w:t>
      </w:r>
    </w:p>
    <w:p>
      <w:pPr>
        <w:pStyle w:val="Heading1"/>
        <w:keepNext/>
      </w:pPr>
      <w:r>
        <w:t>2. Disponibilidad</w:t>
      </w:r>
    </w:p>
    <w:p>
      <w:pPr>
        <w:pStyle w:val="Heading2"/>
        <w:keepNext/>
      </w:pPr>
      <w:r>
        <w:t>2.1 Objetivo mensual propuesto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2000"/>
        <w:gridCol w:w="4760"/>
      </w:tblGrid>
      <w:tr>
        <w:trPr>
          <w:cantSplit/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Nivel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Objetivo mensual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Uso sugerido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Estándar contractual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99,5 %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Primera etapa comercial o Business con SLA.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Reforzado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99,9 %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Solo tras validación operativa y cotización Enterprise.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3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D2733"/>
                <w:sz w:val="19"/>
              </w:rPr>
              <w:t>Fórmula de referencia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color w:val="1D2733"/>
                <w:sz w:val="19"/>
              </w:rPr>
              <w:t>Disponibilidad (%) = (minutos del mes − minutos de indisponibilidad atribuible) / minutos del mes × 100.</w:t>
            </w:r>
          </w:p>
        </w:tc>
      </w:tr>
    </w:tbl>
    <w:p>
      <w:pPr>
        <w:spacing w:after="20"/>
      </w:pPr>
    </w:p>
    <w:p>
      <w:pPr>
        <w:pStyle w:val="ListBullet"/>
        <w:keepLines/>
      </w:pPr>
      <w:r>
        <w:rPr>
          <w:rFonts w:ascii="Calibri" w:hAnsi="Calibri"/>
          <w:color w:val="1D2733"/>
          <w:sz w:val="22"/>
        </w:rPr>
        <w:t>El mes corresponde al mes calendario en la zona horaria de Colombia.</w:t>
      </w:r>
    </w:p>
    <w:p>
      <w:pPr>
        <w:pStyle w:val="ListBullet"/>
        <w:keepLines/>
      </w:pPr>
      <w:r>
        <w:rPr>
          <w:rFonts w:ascii="Calibri" w:hAnsi="Calibri"/>
          <w:color w:val="1D2733"/>
          <w:sz w:val="22"/>
        </w:rPr>
        <w:t>Indisponibilidad atribuible es la imposibilidad general de autenticarse o usar funciones críticas del tenant por causa imputable al Prestador, excluidas las causas de la sección 6.</w:t>
      </w:r>
    </w:p>
    <w:p>
      <w:pPr>
        <w:pStyle w:val="Heading2"/>
        <w:keepNext/>
      </w:pPr>
      <w:r>
        <w:t>2.2 Créditos de servicio opcionales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D2733"/>
                <w:sz w:val="19"/>
              </w:rPr>
              <w:t>Decisión comercial pendiente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color w:val="1D2733"/>
                <w:sz w:val="19"/>
              </w:rPr>
              <w:t>Los créditos siguientes son una propuesta y no están vigentes hasta que se aprueben expresamente en la Orden o el Contrato.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500"/>
        <w:gridCol w:w="4860"/>
      </w:tblGrid>
      <w:tr>
        <w:trPr>
          <w:cantSplit/>
          <w:tblHeader w:val="true"/>
        </w:trPr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Disponibilidad medida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Crédito sugerido</w:t>
            </w:r>
          </w:p>
        </w:tc>
      </w:tr>
      <w:tr>
        <w:trPr>
          <w:cantSplit/>
        </w:trPr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Inferior al objetivo y desde 99,0 %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5 % de la mensualidad del mes afectado</w:t>
            </w:r>
          </w:p>
        </w:tc>
      </w:tr>
      <w:tr>
        <w:trPr>
          <w:cantSplit/>
        </w:trPr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Inferior a 99,0 % y desde 95,0 %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10 % de la mensualidad del mes afectado</w:t>
            </w:r>
          </w:p>
        </w:tc>
      </w:tr>
      <w:tr>
        <w:trPr>
          <w:cantSplit/>
        </w:trPr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Inferior a 95,0 %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15 % de la mensualidad del mes afectado</w:t>
            </w:r>
          </w:p>
        </w:tc>
      </w:tr>
    </w:tbl>
    <w:p>
      <w:pPr>
        <w:pStyle w:val="ListNumber"/>
        <w:keepLines/>
        <w:numPr>
          <w:ilvl w:val="0"/>
          <w:numId w:val="10"/>
        </w:numPr>
      </w:pPr>
      <w:r>
        <w:rPr>
          <w:rFonts w:ascii="Calibri" w:hAnsi="Calibri"/>
          <w:color w:val="1D2733"/>
          <w:sz w:val="22"/>
        </w:rPr>
        <w:t>El crédito sería el único remedio por incumplimiento de disponibilidad, salvo dolo.</w:t>
      </w:r>
    </w:p>
    <w:p>
      <w:pPr>
        <w:pStyle w:val="ListNumber"/>
        <w:keepLines/>
        <w:numPr>
          <w:ilvl w:val="0"/>
          <w:numId w:val="10"/>
        </w:numPr>
      </w:pPr>
      <w:r>
        <w:rPr>
          <w:rFonts w:ascii="Calibri" w:hAnsi="Calibri"/>
          <w:color w:val="1D2733"/>
          <w:sz w:val="22"/>
        </w:rPr>
        <w:t>El tope mensual propuesto sería 15 % de la mensualidad del mes afectado.</w:t>
      </w:r>
    </w:p>
    <w:p>
      <w:pPr>
        <w:pStyle w:val="ListNumber"/>
        <w:keepLines/>
        <w:numPr>
          <w:ilvl w:val="0"/>
          <w:numId w:val="10"/>
        </w:numPr>
      </w:pPr>
      <w:r>
        <w:rPr>
          <w:rFonts w:ascii="Calibri" w:hAnsi="Calibri"/>
          <w:color w:val="1D2733"/>
          <w:sz w:val="22"/>
        </w:rPr>
        <w:t>El Cliente debería solicitarlo dentro de los 30 días siguientes al mes afectado.</w:t>
      </w:r>
    </w:p>
    <w:p>
      <w:pPr>
        <w:pStyle w:val="ListNumber"/>
        <w:keepLines/>
        <w:numPr>
          <w:ilvl w:val="0"/>
          <w:numId w:val="10"/>
        </w:numPr>
      </w:pPr>
      <w:r>
        <w:rPr>
          <w:rFonts w:ascii="Calibri" w:hAnsi="Calibri"/>
          <w:color w:val="1D2733"/>
          <w:sz w:val="22"/>
        </w:rPr>
        <w:t>No habría reembolso en efectivo; el crédito se aplicaría a facturas futuras.</w:t>
      </w:r>
    </w:p>
    <w:p>
      <w:pPr>
        <w:pStyle w:val="Heading1"/>
        <w:keepNext/>
      </w:pPr>
      <w:r>
        <w:t>3. Horarios de soporte bajo SLA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Días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Lunes a viernes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Horario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8:00 a. m. a 5:00 p. m. · hora de Colombia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Canales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Los de RTX-SUP-001 y canal dedicado si aplica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P1 fuera de horario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PENDIENTE: definir si existe guardia, mejor esfuerzo o no cobertura</w:t>
            </w:r>
          </w:p>
        </w:tc>
      </w:tr>
    </w:tbl>
    <w:p>
      <w:pPr>
        <w:pStyle w:val="Heading1"/>
        <w:keepNext/>
      </w:pPr>
      <w:r>
        <w:t>4. Prioridades y tiempos objetivo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3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D2733"/>
                <w:sz w:val="19"/>
              </w:rPr>
              <w:t>Interpretación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color w:val="1D2733"/>
                <w:sz w:val="19"/>
              </w:rPr>
              <w:t>Los tiempos corresponden al primer contacto humano cualificado, no a la resolución, salvo estipulación expresa en la Orden.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300"/>
        <w:gridCol w:w="326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Prioridad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Ejemplo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Respuesta objetivo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Crítica · P1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Plataforma caída o tenant inaccesible.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1 hora en el horario cubierto.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Alta · P2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Función principal afectada.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4 horas hábiles.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Media · P3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Error parcial con alternativa disponible.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8 horas hábiles.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Baja · P4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Consulta o mejora.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1 día hábil.</w:t>
            </w:r>
          </w:p>
        </w:tc>
      </w:tr>
    </w:tbl>
    <w:p>
      <w:pPr>
        <w:keepLines/>
      </w:pPr>
      <w:r>
        <w:rPr>
          <w:rFonts w:ascii="Calibri" w:hAnsi="Calibri"/>
          <w:color w:val="1D2733"/>
          <w:sz w:val="22"/>
        </w:rPr>
        <w:t>La resolución depende de la causa, la posibilidad de reproducir el incidente y su complejidad.</w:t>
      </w:r>
    </w:p>
    <w:p>
      <w:pPr>
        <w:pStyle w:val="Heading1"/>
        <w:keepNext/>
      </w:pPr>
      <w:r>
        <w:t>5. Mantenimiento programado</w:t>
      </w:r>
    </w:p>
    <w:p>
      <w:pPr>
        <w:pStyle w:val="ListNumber"/>
        <w:keepLines/>
        <w:numPr>
          <w:ilvl w:val="0"/>
          <w:numId w:val="11"/>
        </w:numPr>
      </w:pPr>
      <w:r>
        <w:rPr>
          <w:rFonts w:ascii="Calibri" w:hAnsi="Calibri"/>
          <w:color w:val="1D2733"/>
          <w:sz w:val="22"/>
        </w:rPr>
        <w:t>Roustix podrá realizar mantenimientos programados en ventanas de bajo uso.</w:t>
      </w:r>
    </w:p>
    <w:p>
      <w:pPr>
        <w:pStyle w:val="ListNumber"/>
        <w:keepLines/>
        <w:numPr>
          <w:ilvl w:val="0"/>
          <w:numId w:val="11"/>
        </w:numPr>
      </w:pPr>
      <w:r>
        <w:rPr>
          <w:rFonts w:ascii="Calibri" w:hAnsi="Calibri"/>
          <w:color w:val="1D2733"/>
          <w:sz w:val="22"/>
        </w:rPr>
        <w:t>La ventana preferente propuesta es domingos de 00:00 a 06:00, hora de Colombia, u otra comunicada.</w:t>
      </w:r>
    </w:p>
    <w:p>
      <w:pPr>
        <w:pStyle w:val="ListNumber"/>
        <w:keepLines/>
        <w:numPr>
          <w:ilvl w:val="0"/>
          <w:numId w:val="11"/>
        </w:numPr>
      </w:pPr>
      <w:r>
        <w:rPr>
          <w:rFonts w:ascii="Calibri" w:hAnsi="Calibri"/>
          <w:color w:val="1D2733"/>
          <w:sz w:val="22"/>
        </w:rPr>
        <w:t>Se procurará notificar con al menos 48 horas cuando sea razonablemente posible.</w:t>
      </w:r>
    </w:p>
    <w:p>
      <w:pPr>
        <w:pStyle w:val="ListNumber"/>
        <w:keepLines/>
        <w:numPr>
          <w:ilvl w:val="0"/>
          <w:numId w:val="11"/>
        </w:numPr>
      </w:pPr>
      <w:r>
        <w:rPr>
          <w:rFonts w:ascii="Calibri" w:hAnsi="Calibri"/>
          <w:color w:val="1D2733"/>
          <w:sz w:val="22"/>
        </w:rPr>
        <w:t>El mantenimiento programado notificado no cuenta como indisponibilidad atribuible.</w:t>
      </w:r>
    </w:p>
    <w:p>
      <w:pPr>
        <w:pStyle w:val="ListNumber"/>
        <w:keepLines/>
        <w:numPr>
          <w:ilvl w:val="0"/>
          <w:numId w:val="11"/>
        </w:numPr>
      </w:pPr>
      <w:r>
        <w:rPr>
          <w:rFonts w:ascii="Calibri" w:hAnsi="Calibri"/>
          <w:color w:val="1D2733"/>
          <w:sz w:val="22"/>
        </w:rPr>
        <w:t>Los mantenimientos de emergencia por seguridad pueden ejecutarse sin preaviso completo; se informarán tan pronto como sea viable.</w:t>
      </w:r>
    </w:p>
    <w:p>
      <w:pPr>
        <w:pStyle w:val="Heading1"/>
        <w:keepNext/>
      </w:pPr>
      <w:r>
        <w:t>6. Exclusiones</w:t>
      </w:r>
    </w:p>
    <w:p>
      <w:pPr>
        <w:keepLines/>
      </w:pPr>
      <w:r>
        <w:rPr>
          <w:rFonts w:ascii="Calibri" w:hAnsi="Calibri"/>
          <w:color w:val="1D2733"/>
          <w:sz w:val="22"/>
        </w:rPr>
        <w:t>No cuentan como indisponibilidad atribuible ni generan crédito:</w:t>
      </w:r>
    </w:p>
    <w:p>
      <w:pPr>
        <w:pStyle w:val="ListBullet"/>
        <w:keepLines/>
      </w:pPr>
      <w:r>
        <w:rPr>
          <w:rFonts w:ascii="Calibri" w:hAnsi="Calibri"/>
          <w:color w:val="1D2733"/>
          <w:sz w:val="22"/>
        </w:rPr>
        <w:t>Fallas de Internet, DNS o equipos del Cliente.</w:t>
      </w:r>
    </w:p>
    <w:p>
      <w:pPr>
        <w:pStyle w:val="ListBullet"/>
        <w:keepLines/>
      </w:pPr>
      <w:r>
        <w:rPr>
          <w:rFonts w:ascii="Calibri" w:hAnsi="Calibri"/>
          <w:color w:val="1D2733"/>
          <w:sz w:val="22"/>
        </w:rPr>
        <w:t>Navegadores no soportados o software del Cliente.</w:t>
      </w:r>
    </w:p>
    <w:p>
      <w:pPr>
        <w:pStyle w:val="ListBullet"/>
        <w:keepLines/>
      </w:pPr>
      <w:r>
        <w:rPr>
          <w:rFonts w:ascii="Calibri" w:hAnsi="Calibri"/>
          <w:color w:val="1D2733"/>
          <w:sz w:val="22"/>
        </w:rPr>
        <w:t>Uso indebido, configuración errónea o acciones de Usuarios del Cliente.</w:t>
      </w:r>
    </w:p>
    <w:p>
      <w:pPr>
        <w:pStyle w:val="ListBullet"/>
        <w:keepLines/>
      </w:pPr>
      <w:r>
        <w:rPr>
          <w:rFonts w:ascii="Calibri" w:hAnsi="Calibri"/>
          <w:color w:val="1D2733"/>
          <w:sz w:val="22"/>
        </w:rPr>
        <w:t>Incidentes de terceros fuera del control razonable de Roustix, siempre que se realicen acciones razonables de mitigación.</w:t>
      </w:r>
    </w:p>
    <w:p>
      <w:pPr>
        <w:pStyle w:val="ListBullet"/>
        <w:keepLines/>
      </w:pPr>
      <w:r>
        <w:rPr>
          <w:rFonts w:ascii="Calibri" w:hAnsi="Calibri"/>
          <w:color w:val="1D2733"/>
          <w:sz w:val="22"/>
        </w:rPr>
        <w:t>Fuerza mayor.</w:t>
      </w:r>
    </w:p>
    <w:p>
      <w:pPr>
        <w:pStyle w:val="ListBullet"/>
        <w:keepLines/>
      </w:pPr>
      <w:r>
        <w:rPr>
          <w:rFonts w:ascii="Calibri" w:hAnsi="Calibri"/>
          <w:color w:val="1D2733"/>
          <w:sz w:val="22"/>
        </w:rPr>
        <w:t>Suspensión legítima por mora, seguridad o uso ilícito.</w:t>
      </w:r>
    </w:p>
    <w:p>
      <w:pPr>
        <w:pStyle w:val="ListBullet"/>
        <w:keepLines/>
      </w:pPr>
      <w:r>
        <w:rPr>
          <w:rFonts w:ascii="Calibri" w:hAnsi="Calibri"/>
          <w:color w:val="1D2733"/>
          <w:sz w:val="22"/>
        </w:rPr>
        <w:t>Características beta o preview expresamente identificadas.</w:t>
      </w:r>
    </w:p>
    <w:p>
      <w:pPr>
        <w:pStyle w:val="ListBullet"/>
        <w:keepLines/>
      </w:pPr>
      <w:r>
        <w:rPr>
          <w:rFonts w:ascii="Calibri" w:hAnsi="Calibri"/>
          <w:color w:val="1D2733"/>
          <w:sz w:val="22"/>
        </w:rPr>
        <w:t>Periodos en los que el Cliente no coopere con el diagnóstico.</w:t>
      </w:r>
    </w:p>
    <w:p>
      <w:pPr>
        <w:pStyle w:val="Heading1"/>
        <w:keepNext/>
      </w:pPr>
      <w:r>
        <w:t>7. Medición y reportes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Elemento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Definición / estado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Fuente de medición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PENDIENTE: confirmar monitoreo propio, proveedor o combinación autorizada.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Reporte al Cliente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Bajo demanda o mensual para Enterprise, según la Orden.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Discrepancias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Se revisan con logs y evidencias disponibles de ambas partes.</w:t>
            </w:r>
          </w:p>
        </w:tc>
      </w:tr>
    </w:tbl>
    <w:p>
      <w:pPr>
        <w:pStyle w:val="Heading1"/>
        <w:keepNext/>
      </w:pPr>
      <w:r>
        <w:t>8. Relación con otros documentos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cantSplit/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Documento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Relación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RTX-LEGAL-002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Este SLA solo obliga cuando el Contrato u Orden lo anexa expresamente.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RTX-SUP-001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Define canales y alcance; este SLA añade objetivos de tiempo y disponibilidad.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COM-01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La referencia a SLA según contrato exige este documento u otro anexo pactado.</w:t>
            </w:r>
          </w:p>
        </w:tc>
      </w:tr>
    </w:tbl>
    <w:p>
      <w:pPr>
        <w:pStyle w:val="Heading1"/>
        <w:keepNext/>
      </w:pPr>
      <w:r>
        <w:t>9. Activación</w:t>
      </w:r>
    </w:p>
    <w:p>
      <w:pPr>
        <w:keepLines/>
      </w:pPr>
      <w:r>
        <w:rPr>
          <w:rFonts w:ascii="Calibri" w:hAnsi="Calibri"/>
          <w:color w:val="1D2733"/>
          <w:sz w:val="22"/>
        </w:rPr>
        <w:t>El SLA queda activado únicamente cuando se cumplen simultáneamente estas condiciones:</w:t>
      </w:r>
    </w:p>
    <w:p>
      <w:pPr>
        <w:pStyle w:val="ListNumber"/>
        <w:keepLines/>
        <w:numPr>
          <w:ilvl w:val="0"/>
          <w:numId w:val="12"/>
        </w:numPr>
      </w:pPr>
      <w:r>
        <w:rPr>
          <w:rFonts w:ascii="Calibri" w:hAnsi="Calibri"/>
          <w:color w:val="1D2733"/>
          <w:sz w:val="22"/>
        </w:rPr>
        <w:t>El Contrato o la Orden indican expresamente «SLA anexado: Sí».</w:t>
      </w:r>
    </w:p>
    <w:p>
      <w:pPr>
        <w:pStyle w:val="ListNumber"/>
        <w:keepLines/>
        <w:numPr>
          <w:ilvl w:val="0"/>
          <w:numId w:val="12"/>
        </w:numPr>
      </w:pPr>
      <w:r>
        <w:rPr>
          <w:rFonts w:ascii="Calibri" w:hAnsi="Calibri"/>
          <w:color w:val="1D2733"/>
          <w:sz w:val="22"/>
        </w:rPr>
        <w:t>Ambas partes aceptan esta versión.</w:t>
      </w:r>
    </w:p>
    <w:p>
      <w:pPr>
        <w:pStyle w:val="ListNumber"/>
        <w:keepLines/>
        <w:numPr>
          <w:ilvl w:val="0"/>
          <w:numId w:val="12"/>
        </w:numPr>
      </w:pPr>
      <w:r>
        <w:rPr>
          <w:rFonts w:ascii="Calibri" w:hAnsi="Calibri"/>
          <w:color w:val="1D2733"/>
          <w:sz w:val="22"/>
        </w:rPr>
        <w:t>Roustix confirma internamente que los objetivos son operativamente sostenibles.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SLA anexado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 Sí  ☐ No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Nivel seleccionado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 Estándar 99,5 %  ☐ Reforzado 99,9 %  ☐ Otro: 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Créditos aprobados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 No aplican  ☐ Aplican según sección 2.2  ☐ Condición especial anexada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P1 fuera de horario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Fuente de medición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Confirmación operativa Roustix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Nombre / cargo / fecha: __________________________________________</w:t>
            </w:r>
          </w:p>
        </w:tc>
      </w:tr>
    </w:tbl>
    <w:p>
      <w:pPr>
        <w:pStyle w:val="Heading1"/>
        <w:keepNext/>
      </w:pPr>
      <w:r>
        <w:t>10. Control de cambios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800"/>
        <w:gridCol w:w="6060"/>
      </w:tblGrid>
      <w:tr>
        <w:trPr>
          <w:cantSplit/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Versión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Cambio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0.1.0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2026-08-03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Borrador inicial con objetivos no vinculantes.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11. Aceptación del anexo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D2733"/>
                <w:sz w:val="19"/>
              </w:rPr>
              <w:t>Gate de firma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color w:val="1D2733"/>
                <w:sz w:val="19"/>
              </w:rPr>
              <w:t>No firmar mientras existan decisiones pendientes sin completar o la confirmación operativa de Roustix no esté diligenciada.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1D2733"/>
                <w:sz w:val="19"/>
              </w:rPr>
              <w:t>Empresa Cliente</w:t>
            </w:r>
          </w:p>
        </w:tc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1D2733"/>
                <w:sz w:val="19"/>
              </w:rPr>
              <w:t>Prestador Roustix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Nombre: __________________________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Nombre: __________________________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Cargo / calidad: __________________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Cargo / calidad: __________________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Firma: ___________________________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Firma: ___________________________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Fecha: ____ / ____ / 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Fecha: ____ / ____ / 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6500"/>
      <w:gridCol w:w="2860"/>
    </w:tblGrid>
    <w:tr>
      <w:tc>
        <w:tcPr>
          <w:tcW w:type="dxa" w:w="650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spacing w:before="0" w:after="0" w:line="264" w:lineRule="auto"/>
            <w:jc w:val="left"/>
          </w:pPr>
          <w:r>
            <w:rPr>
              <w:rFonts w:ascii="Calibri" w:hAnsi="Calibri"/>
              <w:b w:val="0"/>
              <w:color w:val="5B6472"/>
              <w:sz w:val="16"/>
            </w:rPr>
            <w:t>RTX-SLA-001 · Versión 0.1.0</w:t>
          </w:r>
        </w:p>
      </w:tc>
      <w:tc>
        <w:tcPr>
          <w:tcW w:type="dxa" w:w="286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Calibri" w:hAnsi="Calibri"/>
              <w:color w:val="5B6472"/>
              <w:sz w:val="16"/>
            </w:rPr>
            <w:t xml:space="preserve">Página </w:t>
          </w:r>
          <w:r>
            <w:rPr>
              <w:rFonts w:ascii="Calibri" w:hAnsi="Calibri"/>
              <w:color w:val="5B6472"/>
              <w:sz w:val="17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Calibri" w:hAnsi="Calibri"/>
              <w:color w:val="5B6472"/>
              <w:sz w:val="16"/>
            </w:rPr>
            <w:t xml:space="preserve"> de </w:t>
          </w:r>
          <w:r>
            <w:rPr>
              <w:rFonts w:ascii="Calibri" w:hAnsi="Calibri"/>
              <w:color w:val="5B6472"/>
              <w:sz w:val="17"/>
            </w:rPr>
            <w:fldChar w:fldCharType="begin"/>
            <w:instrText xml:space="preserve"> NUMPAGES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B6472"/>
        <w:sz w:val="17"/>
      </w:rPr>
      <w:t>ROUSTIX  ·  PAQUETE DOCUMENTAL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D27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85FA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85FA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A25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Acuerdo de Nivel de Servicio Roustix</dc:title>
  <dc:subject>Objetivos propuestos de disponibilidad, respuesta y mantenimiento</dc:subject>
  <dc:creator>Roustix</dc:creator>
  <cp:keywords>Roustix, SaaS, soporte, SLA, niveles de servicio</cp:keywords>
  <dc:description>Plantilla corporativa sujeta a aprobación jurídica, comercial y operativa.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