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Paquete de Revisión Jurídica y Contable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Inventario, preguntas y constancia de concepto profesional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GOB-REV-001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interno para revisión profesional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Entregar a los asesores un expediente ordenado y dejar trazabilidad de observaciones, decisiones y versiones aprobadas antes de publicar o firmar.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Advertencia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Este paquete organiza la revisión, pero no constituye asesoría jurídica, contable ni tributaria. La aprobación debe provenir de profesionales habilitados.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Datos de la revisión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Prestador / proyecto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 / 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Revisor jurídico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Revisor contable / tributario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entrega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objetivo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Carpeta / expediente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2. Inventario documental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1100"/>
        <w:gridCol w:w="1100"/>
        <w:gridCol w:w="27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Código / versión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Jurídico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Contable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Términos y condiciones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Contrato SaaS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Privacidad y tratamiento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Acuerdo de transmisión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Propuesta y cotización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Acta de Servicio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Política de soporte y SLA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Onboarding, aceptación y cierre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3. Preguntas para revisión jurídica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Pregunta / validación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 / ajuste requerido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Prestador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¿La identidad y capacidad para contratar están correctamente expresadas?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Contratación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¿Aceptación, firma, evidencia y versiones producen trazabilidad suficiente?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Responsabilidad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¿Topes, exclusiones, garantías e indemnidad son válidos y equilibrados?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Propiedad intelectual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¿Marca, software, contenidos y licencias tienen titularidad documentada?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Datos personales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¿Roles, autorizaciones, transmisión, transferencias y derechos están cubiertos?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Terminación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¿Preavisos, suspensión, exportación, retención y eliminación son coherentes?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Ley aplicable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¿Jurisdicción, solución de controversias y notificaciones son apropiadas?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4. Preguntas para revisión contable y tributaria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Pregunta / validación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 / ajuste requerido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Identificación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¿RUT, responsabilidades, actividad económica y obligaciones están definidas?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Facturación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¿Cuándo procede factura electrónica, cuenta de cobro u otro soporte?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Impuestos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¿IVA, ICA y retenciones aplican a suscripción, implementación y complementos?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Precios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¿Las ofertas deben expresar valores antes o después de impuestos?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Ingresos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¿Periodicidad, anticipos, renovaciones y reconocimiento están correctamente tratados?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Recaudo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¿Cuenta, conciliación, mora, devoluciones y notas crédito tienen control suficiente?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Conservación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¿Qué documentos y soportes deben conservarse y durante cuánto tiempo?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Hallazgos y control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300"/>
        <w:gridCol w:w="3300"/>
        <w:gridCol w:w="1700"/>
        <w:gridCol w:w="1410"/>
      </w:tblGrid>
      <w:tr>
        <w:trPr>
          <w:cantSplit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 / cláusula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6. Dictamen de salida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Resultado jurídico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Aprobado con ajustes  ☐ No aprobado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Resultado contable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Aprobado con ajustes  ☐ No aprobado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Versiones autorizadas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Restricciones / reservas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próxima revisión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>
      <w:pPr>
        <w:pStyle w:val="Heading1"/>
        <w:keepNext/>
      </w:pPr>
      <w:r>
        <w:t>7. Constancias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Revisor profesional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Socios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GOB-REV-001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Revisión Jurídica y Contable Roustix</dc:title>
  <dc:subject>Revisión profesional del paquete comercial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