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Política de Soporte Roustix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Canales, horarios, alcance y escalamiento del servicio de ayuda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RTX-SUP-001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0.2.0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para revisión y aprobación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Definir cómo solicita y recibe ayuda un Cliente de Roustix, qué incluye el soporte y cómo se clasifican y escalan las solicitudes.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Alcance de esta política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Esta política describe el servicio operativo de ayuda. Los objetivos contractuales de disponibilidad y tiempos de respuesta solo aplican cuando el Cliente tiene anexado y activado RTX-SLA-001.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Propósito</w:t>
      </w:r>
    </w:p>
    <w:p>
      <w:pPr>
        <w:keepLines/>
      </w:pPr>
      <w:r>
        <w:rPr>
          <w:rFonts w:ascii="Calibri" w:hAnsi="Calibri"/>
          <w:color w:val="1D2733"/>
          <w:sz w:val="22"/>
        </w:rPr>
        <w:t>Definir canales, horarios, tipos de solicitud, inclusiones, exclusiones y escalamiento del soporte de Roustix para los planes comerciales vigentes.</w:t>
      </w:r>
    </w:p>
    <w:p>
      <w:pPr>
        <w:pStyle w:val="Heading1"/>
        <w:keepNext/>
      </w:pPr>
      <w:r>
        <w:t>2. Canales por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1800"/>
        <w:gridCol w:w="37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Canal principal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Canal secundario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Start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—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Un hilo por incidente o consulta.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Business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Chat, cuando esté habilitado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Misma cola de soporte.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Enterprise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Canal dedicado, según Orden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Correo / chat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Puede incluir contacto nombrado.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ADD-SUP-PRI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Priorización en cola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plan base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 crea por sí solo un SLA de disponibilidad.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Correo corporativo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contacto@roustix.com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Chat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Dentro de la Plataforma para Business o superior, cuando esté habilitado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Portal de soporte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Funcionalidad futura; no disponible actualmente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Canales autorizados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No se presta soporte por redes sociales ni por canales que no estén identificados en esta política, la propuesta, el contrato o la Orden de servicio.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Horarios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Días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Lunes a viernes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Horario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8:00 a. m. a 5:00 p. m. · hora de Colombia (UTC−5)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Excluidos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Sábados, domingos y festivos colombianos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Fuera de horario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solicitud se registra y se atiende el siguiente día hábil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Condición especial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Enterprise o un SLA anexado pueden pactar ventanas distintas en la Orden</w:t>
            </w:r>
          </w:p>
        </w:tc>
      </w:tr>
    </w:tbl>
    <w:p>
      <w:pPr>
        <w:pStyle w:val="Heading1"/>
        <w:keepNext/>
      </w:pPr>
      <w:r>
        <w:t>4. Tipos de solicitudes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60"/>
        <w:gridCol w:w="400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Ejemplo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Incidente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Error o degradación del servicio.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 carga un módulo; error 500 recurrente.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Consulta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Duda sobre el uso de la Plataforma.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Cómo crear una orden de trabajo.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Configuración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Ayuda para parametrizar lo incluido en el plan.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Roles, sedes o catálogos.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Orientación breve o sesión pactada.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Recorrido de un módulo.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Mejora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Sugerencia de producto.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Nueva columna en un reporte.</w:t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Las mejoras no tienen plazo de implementación; se analizan y priorizan dentro del roadmap de producto.</w:t>
      </w:r>
    </w:p>
    <w:p>
      <w:pPr>
        <w:pStyle w:val="Heading1"/>
        <w:keepNext/>
      </w:pPr>
      <w:r>
        <w:t>5. Lo que incluye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Ayuda funcional sobre los módulos contratados.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Diagnóstico y corrección de errores atribuibles a la Plataforma.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Orientación básica de configuración dentro del alcance contratado.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Información sobre el estado de incidentes conocidos.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Guía para exportar datos o utilizar funciones documentadas.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Onboarding inicial remoto conforme a la Orden de servicio.</w:t>
      </w:r>
    </w:p>
    <w:p>
      <w:pPr>
        <w:pStyle w:val="Heading1"/>
        <w:keepNext/>
      </w:pPr>
      <w:r>
        <w:t>6. Lo que no incluye</w:t>
      </w:r>
    </w:p>
    <w:p>
      <w:pPr>
        <w:keepLines/>
      </w:pPr>
      <w:r>
        <w:rPr>
          <w:rFonts w:ascii="Calibri" w:hAnsi="Calibri"/>
          <w:color w:val="1D2733"/>
          <w:sz w:val="22"/>
        </w:rPr>
        <w:t>Salvo cotización y aceptación expresa como servicio profesional: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Desarrollo a medida o personalizaciones para un único Cliente.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Cambios de producto solicitados por un solo tenant.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Administración de infraestructura, red o dispositivos del Cliente.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Soporte sobre equipos, VPN, firewalls o proveedor de Internet del Cliente.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Recuperación de datos borrados por Usuarios fuera de la política de respaldos.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Capacitación masiva o presencial no contratada.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Integraciones API o webhooks no contratadas.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Asesoría legal, contable o de cumplimiento del Cliente.</w:t>
      </w:r>
    </w:p>
    <w:p>
      <w:pPr>
        <w:pStyle w:val="Heading1"/>
        <w:keepNext/>
      </w:pPr>
      <w:r>
        <w:t>7. Información mínima para abrir una solicitud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Razón social y tenant.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Usuario afectado.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Descripción del problema y pasos para reproducirlo.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Fecha y hora aproximada.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Capturas o mensajes de error, sin contraseñas ni secretos.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Impacto y confirmación de si bloquea la operación.</w:t>
      </w:r>
    </w:p>
    <w:p>
      <w:pPr>
        <w:pStyle w:val="Heading1"/>
        <w:keepNext/>
      </w:pPr>
      <w:r>
        <w:t>8. Escalamiento interno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de escalamiento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Nivel 1 · Soporte funcional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Clasificar, orientar y resolver consultas o configuraciones conocidas.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 resuelto o sospecha de defecto.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Nivel 2 · Operación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Diagnosticar infraestructura, logs, tenants e integraciones.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Defecto de producto o cambio de código.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Desarrollo · Ingeniería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Corregir defectos o evaluar cambios de producto.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Según diagnóstico y priorización interna.</w:t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El Cliente no selecciona el nivel de atención; Roustix escala la solicitud según el diagnóstico.</w:t>
      </w:r>
    </w:p>
    <w:p>
      <w:pPr>
        <w:pStyle w:val="Heading1"/>
        <w:keepNext/>
      </w:pPr>
      <w:r>
        <w:t>9. Severidad operativa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Clasificación interna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La severidad organiza la cola de atención. No constituye un compromiso de tiempo salvo que RTX-SLA-001 esté expresamente anexado y activado.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Tratamiento típico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P1 · Crítica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Plataforma inaccesible para el tenant.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Máxima prioridad en horario hábil.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P2 · Alta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Función principal afectada sin alternativa.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Prioridad alta.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P3 · Media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Error parcial con alternativa disponible.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Cola estándar.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P4 · Baja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Consulta, mejora o defecto cosmético.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Cola estándar o backlog.</w:t>
            </w:r>
          </w:p>
        </w:tc>
      </w:tr>
    </w:tbl>
    <w:p>
      <w:pPr>
        <w:pStyle w:val="Heading1"/>
        <w:keepNext/>
      </w:pPr>
      <w:r>
        <w:t>10. Relación con planes comerciales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Soporte incluido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 aplicable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Start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Esta política.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Business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Chat, cuando exista, y correo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Esta política.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Enterprise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Canal dedicado y SLA según contrato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Esta política y RTX-SLA-001, si se anexa.</w:t>
            </w:r>
          </w:p>
        </w:tc>
      </w:tr>
    </w:tbl>
    <w:p>
      <w:pPr>
        <w:pStyle w:val="Heading1"/>
        <w:keepNext/>
      </w:pPr>
      <w:r>
        <w:t>11. Cambios</w:t>
      </w:r>
    </w:p>
    <w:p>
      <w:pPr>
        <w:keepLines/>
      </w:pPr>
      <w:r>
        <w:rPr>
          <w:rFonts w:ascii="Calibri" w:hAnsi="Calibri"/>
          <w:color w:val="1D2733"/>
          <w:sz w:val="22"/>
        </w:rPr>
        <w:t>Roustix podrá actualizar esta política. Los cambios materiales se comunicarán a los clientes activos con preaviso razonable o en la renovación. La versión aplicable será la referenciada en el Contrato, la Orden o la publicada como vigente.</w:t>
      </w:r>
    </w:p>
    <w:p>
      <w:pPr>
        <w:pStyle w:val="Heading1"/>
        <w:keepNext/>
      </w:pPr>
      <w:r>
        <w:t>12. Control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Cambio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0.2.0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2026-08-09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establece contacto@roustix.com como canal corporativo y se retira el buzón temporal.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0.1.0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2026-08-03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Creación del borrador inicial.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RTX-SUP-001 · Versión 0.2.0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Soporte Roustix</dc:title>
  <dc:subject>Canales, horarios, alcance y escalamiento del soporte</dc:subject>
  <dc:creator>Roustix</dc:creator>
  <cp:keywords>Roustix, SaaS, soporte, SLA, niveles de servicio</cp:keywords>
  <dc:description>Plantilla corporativa sujeta a aprobación jurídica, comercial y operativa.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