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2377440" cy="731520"/>
            <wp:docPr id="1" name="Picture 1" title="Roustix" descr="Logotipo corporativo de Roustix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ustix-logo-doc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Calibri" w:hAnsi="Calibri"/>
          <w:b/>
          <w:color w:val="0A2540"/>
          <w:sz w:val="50"/>
        </w:rPr>
        <w:t>Matriz de Decisiones de Socios</w:t>
      </w:r>
    </w:p>
    <w:p>
      <w:pPr>
        <w:spacing w:after="260"/>
      </w:pPr>
      <w:r>
        <w:rPr>
          <w:rFonts w:ascii="Calibri" w:hAnsi="Calibri"/>
          <w:color w:val="5B6472"/>
          <w:sz w:val="24"/>
        </w:rPr>
        <w:t>Definiciones jurídicas, comerciales, tributarias y operativas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3000"/>
        <w:gridCol w:w="1300"/>
        <w:gridCol w:w="3760"/>
      </w:tblGrid>
      <w:tr>
        <w:trPr>
          <w:cantSplit/>
        </w:trPr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Código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GOB-DEC-001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Versión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1.0</w:t>
            </w:r>
          </w:p>
        </w:tc>
      </w:tr>
      <w:tr>
        <w:trPr>
          <w:cantSplit/>
        </w:trPr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Estado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Documento interno controlado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Fecha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 / ____ / ______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3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D2733"/>
                <w:sz w:val="19"/>
              </w:rPr>
              <w:t>Propósito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color w:val="1D2733"/>
                <w:sz w:val="19"/>
              </w:rPr>
              <w:t>Centralizar las decisiones que deben aprobar los socios antes de emitir contratos, precios, SLA o comunicaciones comerciales definitivas.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D2733"/>
                <w:sz w:val="19"/>
              </w:rPr>
              <w:t>Uso interno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color w:val="1D2733"/>
                <w:sz w:val="19"/>
              </w:rPr>
              <w:t>Cada decisión debe registrar responsable, fecha y evidencia. Los asuntos jurídicos o tributarios solo se cierran después del concepto profesional aplicable.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1. Control de la sesión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Fecha / sesión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 / ____ / ______  No. 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Socios participantes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Invitados / asesores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Estado del documento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 En preparación  ☐ En revisión  ☐ Aprobado</w:t>
            </w:r>
          </w:p>
        </w:tc>
      </w:tr>
    </w:tbl>
    <w:p>
      <w:pPr>
        <w:pStyle w:val="Heading1"/>
        <w:keepNext/>
      </w:pPr>
      <w:r>
        <w:t>2. Criterios de estado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cantSplit/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Estado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Uso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Propuesta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Alternativa formulada, todavía sin aprobación.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Aprobada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Decisión adoptada por los socios y soportada con evidencia.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Requiere asesor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Pendiente de validación jurídica, contable o tributaria.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Diferida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No bloquea la comercialización actual; debe tener fecha de revisión.</w:t>
            </w:r>
          </w:p>
        </w:tc>
      </w:tr>
    </w:tbl>
    <w:p>
      <w:pPr>
        <w:pStyle w:val="Heading1"/>
        <w:keepNext/>
      </w:pPr>
      <w:r>
        <w:t>3. Identidad y gobierno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4000"/>
        <w:gridCol w:w="1300"/>
        <w:gridCol w:w="1500"/>
        <w:gridCol w:w="1510"/>
      </w:tblGrid>
      <w:tr>
        <w:trPr>
          <w:cantSplit/>
          <w:tblHeader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Decisión requerida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Estado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Responsable</w:t>
            </w:r>
          </w:p>
        </w:tc>
        <w:tc>
          <w:tcPr>
            <w:tcW w:type="dxa" w:w="1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Fecha / evidencia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GOB-01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Identidad temporal del prestador hasta constituir la sociedad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GOB-02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Tipo societario, razón social, domicilio y representación legal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GOB-03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Participación, aportes, funciones y facultades de cada socio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GOB-04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Titularidad o cesión de marca, software, dominio y demás activos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GOB-05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Cuenta bancaria, autorización para contratar y manejo de fondos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</w:tbl>
    <w:p>
      <w:pPr>
        <w:pStyle w:val="Heading1"/>
        <w:keepNext/>
      </w:pPr>
      <w:r>
        <w:t>4. Oferta, precios e impuestos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4000"/>
        <w:gridCol w:w="1300"/>
        <w:gridCol w:w="1500"/>
        <w:gridCol w:w="1510"/>
      </w:tblGrid>
      <w:tr>
        <w:trPr>
          <w:cantSplit/>
          <w:tblHeader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Decisión requerida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Estado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Responsable</w:t>
            </w:r>
          </w:p>
        </w:tc>
        <w:tc>
          <w:tcPr>
            <w:tcW w:type="dxa" w:w="1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Fecha / evidencia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COM-01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Precios definitivos de Start, Business y Enterprise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COM-02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Servicios adicionales, implementación y almacenamiento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COM-03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Descuentos máximos, aprobaciones y vigencia de cotizaciones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COM-04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Tratamiento de IVA, ICA, retenciones y precios con/sin impuestos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COM-05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Periodicidad, reajuste y moneda de facturación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</w:tbl>
    <w:p>
      <w:pPr>
        <w:pStyle w:val="Heading1"/>
        <w:keepNext/>
      </w:pPr>
      <w:r>
        <w:t>5. Cobro y ciclo contractual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4000"/>
        <w:gridCol w:w="1300"/>
        <w:gridCol w:w="1500"/>
        <w:gridCol w:w="1510"/>
      </w:tblGrid>
      <w:tr>
        <w:trPr>
          <w:cantSplit/>
          <w:tblHeader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Decisión requerida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Estado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Responsable</w:t>
            </w:r>
          </w:p>
        </w:tc>
        <w:tc>
          <w:tcPr>
            <w:tcW w:type="dxa" w:w="1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Fecha / evidencia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FIN-01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Documento de cobro o factura aplicable y responsable de emisión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FIN-02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Pago anticipado, plazo, mora, suspensión y reactivación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FIN-03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Métodos de pago, devoluciones, notas crédito y conciliación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CON-01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Vigencia inicial, renovación, preaviso y terminación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CON-02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Exportación, conservación, eliminación y rotación de respaldos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</w:tbl>
    <w:p>
      <w:pPr>
        <w:pStyle w:val="Heading1"/>
        <w:keepNext/>
      </w:pPr>
      <w:r>
        <w:t>6. SLA, soporte y datos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4000"/>
        <w:gridCol w:w="1300"/>
        <w:gridCol w:w="1500"/>
        <w:gridCol w:w="1510"/>
      </w:tblGrid>
      <w:tr>
        <w:trPr>
          <w:cantSplit/>
          <w:tblHeader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Decisión requerida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Estado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Responsable</w:t>
            </w:r>
          </w:p>
        </w:tc>
        <w:tc>
          <w:tcPr>
            <w:tcW w:type="dxa" w:w="1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Fecha / evidencia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OPS-01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Horario, canales, severidades y responsables de escalamiento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OPS-02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Disponibilidad comprometida, medición, exclusiones y créditos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DAT-01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Roles de tratamiento, canales de privacidad y retención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DAT-02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Subencargados, ubicación, transferencias y datos sensibles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DAT-03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Topes de responsabilidad, confidencialidad y seguridad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</w:tbl>
    <w:p>
      <w:pPr>
        <w:pStyle w:val="Heading1"/>
        <w:keepNext/>
      </w:pPr>
      <w:r>
        <w:t>7. Registro de decisiones aprobadas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3600"/>
        <w:gridCol w:w="1800"/>
        <w:gridCol w:w="1400"/>
        <w:gridCol w:w="1660"/>
      </w:tblGrid>
      <w:tr>
        <w:trPr>
          <w:cantSplit/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Decisión aprobada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Asesor consultado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</w:tbl>
    <w:p>
      <w:pPr>
        <w:pStyle w:val="Heading1"/>
        <w:keepNext/>
      </w:pPr>
      <w:r>
        <w:t>8. Aprobación</w:t>
      </w:r>
    </w:p>
    <w:p>
      <w:pPr>
        <w:keepLines/>
      </w:pPr>
      <w:r>
        <w:rPr>
          <w:rFonts w:ascii="Calibri" w:hAnsi="Calibri"/>
          <w:color w:val="1D2733"/>
          <w:sz w:val="22"/>
        </w:rPr>
        <w:t>La firma confirma únicamente las decisiones identificadas como aprobadas y no sustituye los conceptos profesionales expresamente requeridos.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1D2733"/>
                <w:sz w:val="19"/>
              </w:rPr>
              <w:t>Socio 1</w:t>
            </w:r>
          </w:p>
        </w:tc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1D2733"/>
                <w:sz w:val="19"/>
              </w:rPr>
              <w:t>Socio 2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Nombre: __________________________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Nombre: __________________________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Cargo / calidad: __________________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Cargo / calidad: __________________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Firma: ___________________________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Firma: ___________________________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Fecha: ____ / ____ / ______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Fecha: ____ / ____ / 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037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</w:tblPr>
    <w:tblGrid>
      <w:gridCol w:w="6500"/>
      <w:gridCol w:w="2860"/>
    </w:tblGrid>
    <w:tr>
      <w:tc>
        <w:tcPr>
          <w:tcW w:type="dxa" w:w="650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spacing w:before="0" w:after="0" w:line="264" w:lineRule="auto"/>
            <w:jc w:val="left"/>
          </w:pPr>
          <w:r>
            <w:rPr>
              <w:rFonts w:ascii="Calibri" w:hAnsi="Calibri"/>
              <w:b w:val="0"/>
              <w:color w:val="5B6472"/>
              <w:sz w:val="16"/>
            </w:rPr>
            <w:t>GOB-DEC-001 · Versión 1.0</w:t>
          </w:r>
        </w:p>
      </w:tc>
      <w:tc>
        <w:tcPr>
          <w:tcW w:type="dxa" w:w="286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jc w:val="right"/>
          </w:pPr>
          <w:r>
            <w:rPr>
              <w:rFonts w:ascii="Calibri" w:hAnsi="Calibri"/>
              <w:color w:val="5B6472"/>
              <w:sz w:val="16"/>
            </w:rPr>
            <w:t xml:space="preserve">Página </w:t>
          </w:r>
          <w:r>
            <w:rPr>
              <w:rFonts w:ascii="Calibri" w:hAnsi="Calibri"/>
              <w:color w:val="5B6472"/>
              <w:sz w:val="17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  <w:r>
            <w:rPr>
              <w:rFonts w:ascii="Calibri" w:hAnsi="Calibri"/>
              <w:color w:val="5B6472"/>
              <w:sz w:val="16"/>
            </w:rPr>
            <w:t xml:space="preserve"> de </w:t>
          </w:r>
          <w:r>
            <w:rPr>
              <w:rFonts w:ascii="Calibri" w:hAnsi="Calibri"/>
              <w:color w:val="5B6472"/>
              <w:sz w:val="17"/>
            </w:rPr>
            <w:fldChar w:fldCharType="begin"/>
            <w:instrText xml:space="preserve"> NUMPAGES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B6472"/>
        <w:sz w:val="17"/>
      </w:rPr>
      <w:t>ROUSTIX  ·  PAQUETE DOCUMENTAL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D27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85FA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85FA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A25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Matriz de Decisiones de Socios Roustix</dc:title>
  <dc:subject>Gobierno y decisiones previas a comercialización</dc:subject>
  <dc:creator>Roustix</dc:creator>
  <cp:keywords>Roustix, SaaS, comercial, onboarding, capacitación, aceptación, cierre</cp:keywords>
  <dc:description>Plantilla corporativa para completar; no sustituye revisión jurídica o contable.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