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411"/>
        <w:gridCol w:w="637"/>
        <w:gridCol w:w="637"/>
        <w:gridCol w:w="638"/>
        <w:tblGridChange w:id="0">
          <w:tblGrid>
            <w:gridCol w:w="4322"/>
            <w:gridCol w:w="2411"/>
            <w:gridCol w:w="637"/>
            <w:gridCol w:w="637"/>
            <w:gridCol w:w="638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proyecto y del producto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Proyecto</w:t>
            </w:r>
            <w:r w:rsidDel="00000000" w:rsidR="00000000" w:rsidRPr="00000000">
              <w:rPr>
                <w:b w:val="1"/>
                <w:rtl w:val="0"/>
              </w:rPr>
              <w:t xml:space="preserve">: 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Producto</w:t>
            </w:r>
            <w:r w:rsidDel="00000000" w:rsidR="00000000" w:rsidRPr="00000000">
              <w:rPr>
                <w:b w:val="1"/>
                <w:rtl w:val="0"/>
              </w:rPr>
              <w:t xml:space="preserve">: 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Verificado por: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/>
              <w:drawing>
                <wp:inline distB="0" distT="0" distL="0" distR="0">
                  <wp:extent cx="822960" cy="40386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1D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Osiel Mauricio Pérez Juárez 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Rol: _______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Gerente de calidad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e-mail: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perezosiel164@gmail.com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Adherencia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se adhiere a los estándares definidos.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terminología utilizada es consistente con los conocimientos del usuario.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documentación es de fácil lectura y comprensión para el usuario final.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se encuentra a nivel del usuario final del software.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Completitud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describe las tareas específicas a realizar utilizando el software.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contempla procedimientos de instalación y desinstalación.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detalla una breve descripción del uso previsto del software.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describe los recursos previstos del software.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describe el entorno operacional requerido.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especifica la facilidad para reportar problemas y asistencia.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contempla los procedimientos para entrar y salir del software.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Mantenibilidad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fue diseñado para facilitar su mantenibilidad.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a realizar: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Cumple con las especificaciones.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Subir al repositorio. </w:t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56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 ZACATECAS OCCIDENTE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-260982</wp:posOffset>
          </wp:positionH>
          <wp:positionV relativeFrom="paragraph">
            <wp:posOffset>-173987</wp:posOffset>
          </wp:positionV>
          <wp:extent cx="882015" cy="82867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Checklist Manual del usuario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Verificación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tvNioumg8y27mAvH6UJIIy9ldg==">AMUW2mUlCqBqFSx7/j+uG6ptLcojk4CpdiXHooAfaTV1TUSQ9F62nzrbF0f0IPJrBYPc8g3uG7/NJRPeljEGrw/D2PLUdJfuGIJ739dlGA6YVjS/wwrbVwBq5toNbASKJHVZca0fmgU2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