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70c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70c0"/>
          <w:sz w:val="36"/>
          <w:szCs w:val="36"/>
          <w:rtl w:val="0"/>
        </w:rPr>
        <w:t xml:space="preserve">Acta de Aceptación</w:t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Arial" w:cs="Arial" w:eastAsia="Arial" w:hAnsi="Arial"/>
          <w:b w:val="1"/>
          <w:i w:val="1"/>
          <w:color w:val="00b05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b050"/>
          <w:sz w:val="36"/>
          <w:szCs w:val="36"/>
          <w:rtl w:val="0"/>
        </w:rPr>
        <w:t xml:space="preserve">“SemaforosMina”</w:t>
      </w:r>
    </w:p>
    <w:p w:rsidR="00000000" w:rsidDel="00000000" w:rsidP="00000000" w:rsidRDefault="00000000" w:rsidRPr="00000000" w14:paraId="00000006">
      <w:pPr>
        <w:pBdr>
          <w:bottom w:color="000000" w:space="1" w:sz="24" w:val="single"/>
        </w:pBdr>
        <w:spacing w:after="0" w:line="240" w:lineRule="auto"/>
        <w:jc w:val="right"/>
        <w:rPr>
          <w:rFonts w:ascii="Arial" w:cs="Arial" w:eastAsia="Arial" w:hAnsi="Arial"/>
          <w:b w:val="1"/>
          <w:color w:val="00b050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00b050"/>
          <w:sz w:val="36"/>
          <w:szCs w:val="36"/>
          <w:rtl w:val="0"/>
        </w:rPr>
        <w:t xml:space="preserve">“Laboratorio de microcontroladores”</w:t>
      </w:r>
    </w:p>
    <w:p w:rsidR="00000000" w:rsidDel="00000000" w:rsidP="00000000" w:rsidRDefault="00000000" w:rsidRPr="00000000" w14:paraId="00000007">
      <w:pPr>
        <w:spacing w:after="0" w:line="240" w:lineRule="auto"/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426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HISTORIAL DE VERSIONES</w:t>
      </w:r>
    </w:p>
    <w:tbl>
      <w:tblPr>
        <w:tblStyle w:val="Table1"/>
        <w:tblW w:w="9915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0"/>
        <w:gridCol w:w="1416"/>
        <w:gridCol w:w="2672"/>
        <w:gridCol w:w="1317"/>
        <w:gridCol w:w="1665"/>
        <w:gridCol w:w="1575"/>
        <w:tblGridChange w:id="0">
          <w:tblGrid>
            <w:gridCol w:w="1270"/>
            <w:gridCol w:w="1416"/>
            <w:gridCol w:w="2672"/>
            <w:gridCol w:w="1317"/>
            <w:gridCol w:w="1665"/>
            <w:gridCol w:w="157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17569b" w:val="clea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VERSIÓN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FECHA VIGENCIA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DETALLE DEL CAMBIO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SECCIÓN CAMBIADA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AUTOR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16"/>
                <w:szCs w:val="16"/>
                <w:rtl w:val="0"/>
              </w:rPr>
              <w:t xml:space="preserve">FECHA AUTORIZACIÓN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2/06/2023</w:t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Ninguno</w:t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Ninguna</w:t>
            </w:r>
          </w:p>
        </w:tc>
        <w:tc>
          <w:tcPr/>
          <w:p w:rsidR="00000000" w:rsidDel="00000000" w:rsidP="00000000" w:rsidRDefault="00000000" w:rsidRPr="00000000" w14:paraId="00000019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RAPR, RBMJ, HDCS Y PCG</w:t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2/06/2023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2/06/2023</w:t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Ninguno</w:t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Ninguna</w:t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RAPR, RBMJ, HDCS Y PCG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2/06/2023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ACTA DE ACEPTACIÓN</w:t>
      </w:r>
    </w:p>
    <w:p w:rsidR="00000000" w:rsidDel="00000000" w:rsidP="00000000" w:rsidRDefault="00000000" w:rsidRPr="00000000" w14:paraId="00000040">
      <w:pPr>
        <w:spacing w:after="0" w:line="240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En la presente acta se hace constar la entrega del prototipo del semáforo “SemáforosMina” por parte de la empresa “Laboratorio de Microcontroladores” en la cual se mencionan los requisitos principales y elementos que conforman el sistema. La entrega del sistema se realizó el día 2 de junio de 2023 por parte del líder de proyecto Ricardo Aldair Puente Reyes</w:t>
      </w:r>
    </w:p>
    <w:p w:rsidR="00000000" w:rsidDel="00000000" w:rsidP="00000000" w:rsidRDefault="00000000" w:rsidRPr="00000000" w14:paraId="00000042">
      <w:pPr>
        <w:spacing w:after="0" w:line="240" w:lineRule="auto"/>
        <w:jc w:val="both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 continuación, se listan los requisitos principales, indicando el estado el cual puede ser “satisfactorio o insatisfecho”.</w:t>
      </w:r>
    </w:p>
    <w:tbl>
      <w:tblPr>
        <w:tblStyle w:val="Table2"/>
        <w:tblW w:w="95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487"/>
        <w:gridCol w:w="3013"/>
        <w:tblGridChange w:id="0">
          <w:tblGrid>
            <w:gridCol w:w="6487"/>
            <w:gridCol w:w="3013"/>
          </w:tblGrid>
        </w:tblGridChange>
      </w:tblGrid>
      <w:tr>
        <w:trPr>
          <w:cantSplit w:val="0"/>
          <w:tblHeader w:val="0"/>
        </w:trPr>
        <w:tc>
          <w:tcPr>
            <w:shd w:fill="17569b" w:val="clea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Requisitos Principales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1- El semáforo se entrega como prototipo funcional.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Satisfactorio</w:t>
            </w:r>
          </w:p>
          <w:p w:rsidR="00000000" w:rsidDel="00000000" w:rsidP="00000000" w:rsidRDefault="00000000" w:rsidRPr="00000000" w14:paraId="0000004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2- El semáforo funciona correctamente y se comunica con la aplicación web.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Satisfactorio</w:t>
            </w:r>
          </w:p>
          <w:p w:rsidR="00000000" w:rsidDel="00000000" w:rsidP="00000000" w:rsidRDefault="00000000" w:rsidRPr="00000000" w14:paraId="0000004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El hardware de los semáforos contiene los siguientes elementos acordados en el Plan de Proyecto:</w:t>
      </w:r>
    </w:p>
    <w:tbl>
      <w:tblPr>
        <w:tblStyle w:val="Table3"/>
        <w:tblW w:w="95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00"/>
        <w:tblGridChange w:id="0">
          <w:tblGrid>
            <w:gridCol w:w="95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1.-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Código del hardware v 1.0: Se entrega en digital e implementado.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2.-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Manual de usuario v 1.0: Se entrega en digital verificado y validado por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el encargado del gerente de calidad y el cliente.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3.-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Manual mantenimiento v 1.0: Se entrega en digital verificado y validado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por el gerente de soporte y el cliente.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4.- </w:t>
            </w: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Manual de operación v 1.0: Se entrega en digital verificado y validado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rtl w:val="0"/>
              </w:rPr>
              <w:t xml:space="preserve">por el gerente de desarrollo y el cliente.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5.-</w:t>
            </w: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 Capacitación al cliente de las funcionalidades del sistema de información. </w:t>
            </w:r>
          </w:p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750"/>
        <w:gridCol w:w="4750"/>
        <w:tblGridChange w:id="0">
          <w:tblGrid>
            <w:gridCol w:w="4750"/>
            <w:gridCol w:w="47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Ing. José Artemio Barraza Alvarado</w:t>
            </w:r>
          </w:p>
          <w:p w:rsidR="00000000" w:rsidDel="00000000" w:rsidP="00000000" w:rsidRDefault="00000000" w:rsidRPr="00000000" w14:paraId="0000005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</w:rPr>
              <w:drawing>
                <wp:inline distB="0" distT="0" distL="0" distR="0">
                  <wp:extent cx="914400" cy="904875"/>
                  <wp:effectExtent b="0" l="0" r="0" t="0"/>
                  <wp:docPr descr="Diagrama&#10;&#10;Descripción generada automáticamente con confianza media" id="3" name="image2.png"/>
                  <a:graphic>
                    <a:graphicData uri="http://schemas.openxmlformats.org/drawingml/2006/picture">
                      <pic:pic>
                        <pic:nvPicPr>
                          <pic:cNvPr descr="Diagrama&#10;&#10;Descripción generada automáticamente con confianza media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04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________________________________</w:t>
            </w:r>
          </w:p>
          <w:p w:rsidR="00000000" w:rsidDel="00000000" w:rsidP="00000000" w:rsidRDefault="00000000" w:rsidRPr="00000000" w14:paraId="0000006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Encargado del laboratorio de microcontroladores</w:t>
            </w:r>
          </w:p>
          <w:p w:rsidR="00000000" w:rsidDel="00000000" w:rsidP="00000000" w:rsidRDefault="00000000" w:rsidRPr="00000000" w14:paraId="0000006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  <w:t xml:space="preserve">ic. Andrés Macias Gómez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</w:rPr>
              <w:drawing>
                <wp:inline distB="114300" distT="114300" distL="114300" distR="114300">
                  <wp:extent cx="921516" cy="88502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516" cy="8850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________________________________</w:t>
            </w:r>
          </w:p>
          <w:p w:rsidR="00000000" w:rsidDel="00000000" w:rsidP="00000000" w:rsidRDefault="00000000" w:rsidRPr="00000000" w14:paraId="0000006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after="0" w:line="240" w:lineRule="auto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headerReference r:id="rId11" w:type="even"/>
      <w:footerReference r:id="rId12" w:type="default"/>
      <w:footerReference r:id="rId13" w:type="first"/>
      <w:footerReference r:id="rId14" w:type="even"/>
      <w:pgSz w:h="15840" w:w="12240" w:orient="portrait"/>
      <w:pgMar w:bottom="1440" w:top="1440" w:left="1440" w:right="1440" w:header="567" w:footer="5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tabs>
        <w:tab w:val="center" w:leader="none" w:pos="4550"/>
        <w:tab w:val="left" w:leader="none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-260981</wp:posOffset>
          </wp:positionH>
          <wp:positionV relativeFrom="paragraph">
            <wp:posOffset>-173986</wp:posOffset>
          </wp:positionV>
          <wp:extent cx="882015" cy="828675"/>
          <wp:effectExtent b="0" l="0" r="0" t="0"/>
          <wp:wrapSquare wrapText="bothSides" distB="0" distT="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Acta de Aceptación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3.xml"/><Relationship Id="rId10" Type="http://schemas.openxmlformats.org/officeDocument/2006/relationships/header" Target="header1.xml"/><Relationship Id="rId13" Type="http://schemas.openxmlformats.org/officeDocument/2006/relationships/footer" Target="footer3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+b0AaN+V/b/h/LUz9RKAxkLSdw==">CgMxLjAyCGguZ2pkZ3hzMgloLjMwajB6bGw4AHIhMUJuc0IteThKZnl0TVpnVTNwd0ZSTHdiYzJTd3BzRlU2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