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Constitutiva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rtl w:val="0"/>
        </w:rPr>
        <w:t xml:space="preserve">SemaforosMina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24" w:val="single"/>
        </w:pBd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2e74b5"/>
          <w:sz w:val="36"/>
          <w:szCs w:val="36"/>
          <w:rtl w:val="0"/>
        </w:rPr>
        <w:t xml:space="preserve">21/02/2023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" w:hanging="3"/>
        <w:jc w:val="center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1" w:hanging="3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02_ActaConstitutiva_SemaforosMina_v0.1.docx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Creación del acta constitutiva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(RAPR)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(OMPJ)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(HDCS)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(PCG)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1" w:hanging="3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02_ActaConstitutiva_SemaforosMina v0.2.docx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corrección del acta constitutiva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(RAPR)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(OMPJ)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(HDCS)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(PCG)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Patrocinador / Patrocinadores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proyecto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_heading=h.djnrn1p24bc6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"_heading=h.djnrn1p24bc6"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Niveles de autoridad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hanging="2"/>
        <w:rPr>
          <w:color w:val="365f91"/>
        </w:rPr>
      </w:pPr>
      <w:bookmarkStart w:colFirst="0" w:colLast="0" w:name="_heading=h.q92lliganw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hanging="2"/>
        <w:rPr>
          <w:color w:val="365f91"/>
        </w:rPr>
      </w:pPr>
      <w:bookmarkStart w:colFirst="0" w:colLast="0" w:name="_heading=h.rk3vdvnspn0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hanging="2"/>
        <w:rPr>
          <w:color w:val="365f91"/>
        </w:rPr>
      </w:pPr>
      <w:bookmarkStart w:colFirst="0" w:colLast="0" w:name="_heading=h.jsm0978nov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hanging="2"/>
        <w:rPr>
          <w:color w:val="365f91"/>
        </w:rPr>
      </w:pPr>
      <w:bookmarkStart w:colFirst="0" w:colLast="0" w:name="_heading=h.o5k320wsrog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hanging="2"/>
        <w:rPr>
          <w:color w:val="365f91"/>
        </w:rPr>
      </w:pPr>
      <w:bookmarkStart w:colFirst="0" w:colLast="0" w:name="_heading=h.1f6v75z0zw6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hanging="2"/>
        <w:rPr>
          <w:color w:val="365f91"/>
        </w:rPr>
      </w:pPr>
      <w:bookmarkStart w:colFirst="0" w:colLast="0" w:name="_heading=h.xj7o7qm8l7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hanging="2"/>
        <w:rPr>
          <w:color w:val="365f91"/>
        </w:rPr>
      </w:pPr>
      <w:bookmarkStart w:colFirst="0" w:colLast="0" w:name="_heading=h.dtwvprmerg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hanging="2"/>
        <w:rPr>
          <w:color w:val="365f91"/>
        </w:rPr>
      </w:pPr>
      <w:bookmarkStart w:colFirst="0" w:colLast="0" w:name="_heading=h.ppp2tmi54gl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hanging="2"/>
        <w:rPr>
          <w:color w:val="365f91"/>
        </w:rPr>
      </w:pPr>
      <w:bookmarkStart w:colFirst="0" w:colLast="0" w:name="_heading=h.jhtqfaraw7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hanging="2"/>
        <w:rPr>
          <w:color w:val="365f91"/>
        </w:rPr>
      </w:pPr>
      <w:bookmarkStart w:colFirst="0" w:colLast="0" w:name="_heading=h.d2yyqgiu5p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30j0zll" w:id="11"/>
      <w:bookmarkEnd w:id="1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Datos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MURMA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SemáforosMina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13-02-2023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Andrés Macias Gómez.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fob9te" w:id="12"/>
      <w:bookmarkEnd w:id="12"/>
      <w:r w:rsidDel="00000000" w:rsidR="00000000" w:rsidRPr="00000000">
        <w:rPr>
          <w:b w:val="1"/>
          <w:color w:val="365f91"/>
          <w:rtl w:val="0"/>
        </w:rPr>
        <w:t xml:space="preserve">Patrocinador / Patrocinadores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13"/>
      <w:bookmarkEnd w:id="1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y Justificación del Proyecto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implica diseñar y construir un semáforo de dos colores (rojo para cerrar intersecciones y verde para abrir las intersecciones) que servirá para la seguridad en el interior de la mina. Este dispositivo de señalización ayudará a prevenir situaciones peligrosas en las intersecciones, asegurando la protección de los trabajadores. Además, el semáforo será de utilidad para alertar de las zonas de peligro y señalar las áreas seguras en las que se puede trabajar sin riesgo alguno. En resumen, este proyecto es de gran ayuda para aumentar la seguridad en el trabajo y evitar accidentes que podrían ser catastróficos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m42cbbvoa5f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f4uygk1p2kle" w:id="16"/>
      <w:bookmarkEnd w:id="16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325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controlará mediante una página web que nos permitirá controlar el modo en el cual se encuentra el semáforo, siendo 3, el modo automático, el modo manual y el modo con el cual operará mediante una cámara.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 Modo automático: Se podrán ver los estatus de los semáforos así como información para identificarlos (Identificador y  Dirección IP). Este trabajará de forma totalmente automática con tiempos predefinidos para los cambios de estado del semáforo.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 Modo manual: Se podrán manipular los semáforos a voluntad del usuario, así como ver información para identificarlos (Identificador y Dirección IP). Solo usuarios con los privilegios necesarios podrán manipular los semáforos en modo manual.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 Sensor con cámara: Los semáforos cambian de estatus según reciba información la cámara, a conveniencia del tráfico, se verá reflejado el cambio de luz. Desde este modo se podrá ver información para identificar el semáforo (Identificador y Dirección IP) así como el estatus actual del semáforo.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se enviará mediante una solicitud HTTP al servidor, el cual procesa la petición del cliente y enviará la misma mediante un formato JSON al semáforo para que se realice el cambio.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Dos semáforos con luces led con su respectivo microcontrolador Raspberry Pi Pico, manual de mantenimiento, manual operativo, manual de usuario y manual de utilización.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tyjcw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alto nivel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3dy6vkm" w:id="18"/>
      <w:bookmarkEnd w:id="18"/>
      <w:r w:rsidDel="00000000" w:rsidR="00000000" w:rsidRPr="00000000">
        <w:rPr>
          <w:b w:val="1"/>
          <w:color w:val="365f91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semáforo deberá prender de color verde cuando se dé la indicación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prender de color rojo cuando se dé la indicación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estar conectado por medio de conexión cableada de tipo LAN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contar con una base para la instalación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t3h5sf" w:id="19"/>
      <w:bookmarkEnd w:id="19"/>
      <w:r w:rsidDel="00000000" w:rsidR="00000000" w:rsidRPr="00000000">
        <w:rPr>
          <w:b w:val="1"/>
          <w:color w:val="365f91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será realizado bajo la norma ISO 29110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trabajará bajo el ciclo de vida SCRUM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deberá ser entregado en un lapso de 14 semanas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Deberán realizarse juntas con el cliente cada dos semanas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jnrn1p24bc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e08uwxpm1wy" w:id="21"/>
      <w:bookmarkEnd w:id="2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se entregará como prototipo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ser validado.</w:t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ser verificado.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consta de 14 semanas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Del 27/03/2023 al 25/05/2023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 gerente trabaja 11 horas a la semana, con un costo de 65 pesos la hora en base a (Talent.com, 2023)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$70,070.MXN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deberá de cumplir con los requerimientos de la norma ISO/IEC29110 combinada con el ciclo de vida de la metodología de SCRUM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medirá la Seguridad: dada la importancia de los semáforos en la seguridad de la mina, se puede establecer una métrica para medir la eficacia de los semáforos en la reducción de accidentes o incidentes en la mina. Por ejemplo, se puede establecer un objetivo de reducción del número de incidentes relacionados con el tráfico en la mina.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hardware será desarrollado en un tiempo de 14 semanas en base al formato EDT(Plan de actividades)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Periodo de 14 semanas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s8eyo1" w:id="22"/>
      <w:bookmarkEnd w:id="2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Premisas y Restricciones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Disponibilidad de recursos adecuados como personal, tiempo, presupuesto y herramientas.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Comprensión clara de los objetivos del proyecto, requisitos del usuario y alcance del proyecto.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Acceso a tecnologías y herramientas apropiadas para la implementación del software.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Comunicación y colaboración efectiva entre el equipo de proyecto y los stakeholders.</w:t>
            </w:r>
          </w:p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Plazos y fechas límite definidas para el proyecto.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5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Presupuesto limitado.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Requisitos no funcionales específicos.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Normas y regulaciones legales y de seguridad.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23"/>
      <w:bookmarkEnd w:id="2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Requerimientos incompletos.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Cambios en los requerimientos o alcance del proyecto.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tecnología y las herramientas utilizadas para el desarrollo del software.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disponibilidad del equipo de proyecto.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capacidad del equipo de proyecto.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presupuesto del proyecto.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cronograma del proyecto.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Pérdida de backups.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Fallo y/o problemas de la herramienta de jira debido al poco o nulo conocimiento.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rdcrjn" w:id="24"/>
      <w:bookmarkEnd w:id="2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27/02/2023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Primera entrega de avances del proyecto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24/03/2023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Segunda entrega de avances del proyecto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24/04/2023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Tercera entrega de avances del proyecto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Validación del proyecto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25/05/2023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Entrega final del proyecto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26/05/2023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6in1rg" w:id="25"/>
      <w:bookmarkEnd w:id="2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(Talent.com, 2023)El salario programador promedio en México es de $ 144, 000.MXN al año o $ 73.85.MXN por hora. Los cargos de nivel inicial comienzan con un ingreso de $ 84, 000.MXN al año, mientras que profesionales más experimentados perciben hasta $ 265, 001.MXN al año.</w:t>
            </w:r>
          </w:p>
          <w:p w:rsidR="00000000" w:rsidDel="00000000" w:rsidP="00000000" w:rsidRDefault="00000000" w:rsidRPr="00000000" w14:paraId="000000E9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promedio un programador recibe $12, 000.MXN por mes basado en 10,000 salarios, de esos $12, 000.MXN entre los 30 días del mes le toca al programador de a $400.MXN por día, y supongamos que el programador trabaja 8hrs de jornada diaria, de estos $400.MXN entre 8hrs toca a $50.MXN por hora, se va a establecer un costo de $65.MXN /hora para dejar un colchón de imprevistos.</w:t>
            </w:r>
          </w:p>
          <w:p w:rsidR="00000000" w:rsidDel="00000000" w:rsidP="00000000" w:rsidRDefault="00000000" w:rsidRPr="00000000" w14:paraId="000000EA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exactamente 7 personas en total del equipo de hardware y software en donde son 14 semanas destinadas para el proyecto, de esas 14 semanas son 98 días, pero en este caso no se van a contar los fines de semana, y si es de lunes a viernes son exactamente 70 días, suponiendo que se va a trabajar en el proyecto aproximadamente 2.20hrs por día, por persona serian $260.MXN, a lo cual, por equipo serian $2,080.MXN al día por equipo, y si son 70, entonces sería un total de </w:t>
            </w:r>
            <w:r w:rsidDel="00000000" w:rsidR="00000000" w:rsidRPr="00000000">
              <w:rPr>
                <w:color w:val="ff0000"/>
                <w:rtl w:val="0"/>
              </w:rPr>
              <w:t xml:space="preserve">$70,070.MXN </w:t>
            </w:r>
            <w:r w:rsidDel="00000000" w:rsidR="00000000" w:rsidRPr="00000000">
              <w:rPr>
                <w:rtl w:val="0"/>
              </w:rPr>
              <w:t xml:space="preserve">aproximadamente.</w:t>
            </w:r>
          </w:p>
          <w:p w:rsidR="00000000" w:rsidDel="00000000" w:rsidP="00000000" w:rsidRDefault="00000000" w:rsidRPr="00000000" w14:paraId="000000EB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lnxbz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 de Interesados (stakeholders)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Héctor Daniel Castro Salazar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Osiel Mauricio Pérez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calidad y procesos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Paola Correa Gómez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Berenice Marco Jiménez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Soriano Quintero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Cinthia Canales Medina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Andrés Macias Gómez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rj2qd8pyp3fx" w:id="27"/>
      <w:bookmarkEnd w:id="2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aprobación del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está detallado, contiene especificaciones técnicas y documentación del usuario.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Demostración satisfactoria del software funcionando con todas sus funciones clave.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Pruebas exhaustivas y aprobación por parte del equipo de pruebas y calidad.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Evaluación de la escalabilidad, seguridad y rendimiento del hardware.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Evaluación de la satisfacción del cliente y del equipo de desarrollo con el resultado final del proyecto.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Verificación del cumplimiento con los estándares y regulaciones aplicables al proyecto.</w:t>
            </w:r>
          </w:p>
          <w:p w:rsidR="00000000" w:rsidDel="00000000" w:rsidP="00000000" w:rsidRDefault="00000000" w:rsidRPr="00000000" w14:paraId="00000127">
            <w:pPr>
              <w:spacing w:after="240" w:line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Aprobación por parte del equipo de liderazgo y/o del cliente final.</w:t>
            </w:r>
          </w:p>
          <w:p w:rsidR="00000000" w:rsidDel="00000000" w:rsidP="00000000" w:rsidRDefault="00000000" w:rsidRPr="00000000" w14:paraId="00000128">
            <w:pPr>
              <w:spacing w:after="240" w:before="24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ksv4u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44sinio" w:id="29"/>
      <w:bookmarkEnd w:id="29"/>
      <w:r w:rsidDel="00000000" w:rsidR="00000000" w:rsidRPr="00000000">
        <w:rPr>
          <w:b w:val="1"/>
          <w:color w:val="365f91"/>
          <w:rtl w:val="0"/>
        </w:rPr>
        <w:t xml:space="preserve">Gerente de Proyecto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Líder/Gerente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jxsxqh" w:id="30"/>
      <w:bookmarkEnd w:id="30"/>
      <w:r w:rsidDel="00000000" w:rsidR="00000000" w:rsidRPr="00000000">
        <w:rPr>
          <w:b w:val="1"/>
          <w:color w:val="365f91"/>
          <w:rtl w:val="0"/>
        </w:rPr>
        <w:t xml:space="preserve">Niveles de autoridad</w:t>
      </w:r>
    </w:p>
    <w:tbl>
      <w:tblPr>
        <w:tblStyle w:val="Table1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proyecto, Personal de soporte y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z337ya" w:id="31"/>
      <w:bookmarkEnd w:id="3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Personal y recursos preasignados</w:t>
      </w:r>
    </w:p>
    <w:tbl>
      <w:tblPr>
        <w:tblStyle w:val="Table1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Componentes (Raspberry Pi 4, leds, cableado)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Apoyo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3j2qqm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Verificaciones y Validaciones</w:t>
      </w:r>
    </w:p>
    <w:tbl>
      <w:tblPr>
        <w:tblStyle w:val="Table18"/>
        <w:tblW w:w="89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1620"/>
        <w:gridCol w:w="1545"/>
        <w:gridCol w:w="2460"/>
        <w:tblGridChange w:id="0">
          <w:tblGrid>
            <w:gridCol w:w="3315"/>
            <w:gridCol w:w="1620"/>
            <w:gridCol w:w="1545"/>
            <w:gridCol w:w="2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Verificación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Osiel Mauricio Pérez Juárez 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21/02/2023</w:t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975" cy="399415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399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280"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Osiel Mauricio Pérez Juárez 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ind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975" cy="399415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399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tabs>
        <w:tab w:val="center" w:leader="none" w:pos="4550"/>
        <w:tab w:val="left" w:leader="none" w:pos="5818"/>
      </w:tabs>
      <w:ind w:left="0" w:right="260" w:hanging="2"/>
      <w:jc w:val="right"/>
      <w:rPr>
        <w:color w:val="222a35"/>
      </w:rPr>
    </w:pPr>
    <w:r w:rsidDel="00000000" w:rsidR="00000000" w:rsidRPr="00000000">
      <w:rPr>
        <w:color w:val="8496b0"/>
        <w:rtl w:val="0"/>
      </w:rPr>
      <w:t xml:space="preserve">Página </w:t>
    </w:r>
    <w:r w:rsidDel="00000000" w:rsidR="00000000" w:rsidRPr="00000000">
      <w:rPr>
        <w:color w:val="323e4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rtl w:val="0"/>
      </w:rPr>
      <w:t xml:space="preserve"> | </w:t>
    </w:r>
    <w:r w:rsidDel="00000000" w:rsidR="00000000" w:rsidRPr="00000000">
      <w:rPr>
        <w:color w:val="323e4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tabs>
        <w:tab w:val="center" w:leader="none" w:pos="4252"/>
        <w:tab w:val="right" w:leader="none" w:pos="8504"/>
      </w:tabs>
      <w:spacing w:line="240" w:lineRule="auto"/>
      <w:ind w:firstLine="0"/>
      <w:jc w:val="center"/>
      <w:rPr>
        <w:rFonts w:ascii="Arial Rounded" w:cs="Arial Rounded" w:eastAsia="Arial Rounded" w:hAnsi="Arial Rounded"/>
        <w:b w:val="1"/>
        <w:color w:val="0070c0"/>
        <w:sz w:val="22"/>
        <w:szCs w:val="22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sz w:val="22"/>
        <w:szCs w:val="22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INSTITUTO TECNOLÓGICO SUPERIOR ZACATECAS OCCIDENTE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-260980</wp:posOffset>
          </wp:positionH>
          <wp:positionV relativeFrom="paragraph">
            <wp:posOffset>-173985</wp:posOffset>
          </wp:positionV>
          <wp:extent cx="882015" cy="828675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Acta Constitutiva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240" w:lineRule="auto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pOzcavXTY6v6rUF9kGuHZZi7g==">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2023-02-22T01:02:00Z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2023-03-07T14:42:44Z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b53ef622-8948-4ffc-b72b-a5d7d256f9b6</vt:lpwstr>
  </property>
  <property fmtid="{D5CDD505-2E9C-101B-9397-08002B2CF9AE}" pid="7" name="MSIP_Label_defa4170-0d19-0005-0004-bc88714345d2_ActionId">
    <vt:lpwstr>36d9e663-27ae-4d6b-bfa7-0c5b83eb0489</vt:lpwstr>
  </property>
  <property fmtid="{D5CDD505-2E9C-101B-9397-08002B2CF9AE}" pid="8" name="MSIP_Label_defa4170-0d19-0005-0004-bc88714345d2_ContentBits">
    <vt:lpwstr>0</vt:lpwstr>
  </property>
</Properties>
</file>