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Constitutiva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jc w:val="right"/>
        <w:rPr>
          <w:color w:val="2e74b5"/>
          <w:sz w:val="36"/>
          <w:szCs w:val="36"/>
        </w:rPr>
      </w:pPr>
      <w:r w:rsidDel="00000000" w:rsidR="00000000" w:rsidRPr="00000000">
        <w:rPr>
          <w:rtl w:val="0"/>
        </w:rPr>
        <w:t xml:space="preserve">SemaforosMina.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24" w:val="single"/>
        </w:pBdr>
        <w:spacing w:line="240" w:lineRule="auto"/>
        <w:ind w:left="2" w:hanging="4"/>
        <w:jc w:val="right"/>
        <w:rPr>
          <w:color w:val="2e74b5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2e74b5"/>
          <w:sz w:val="36"/>
          <w:szCs w:val="36"/>
          <w:rtl w:val="0"/>
        </w:rPr>
        <w:t xml:space="preserve">21/02/2023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2" w:hanging="4"/>
        <w:jc w:val="right"/>
        <w:rPr>
          <w:color w:val="2e74b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" w:hanging="3"/>
        <w:jc w:val="center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4"/>
        <w:gridCol w:w="3385"/>
        <w:gridCol w:w="1283"/>
        <w:gridCol w:w="2066"/>
        <w:tblGridChange w:id="0">
          <w:tblGrid>
            <w:gridCol w:w="2244"/>
            <w:gridCol w:w="3385"/>
            <w:gridCol w:w="1283"/>
            <w:gridCol w:w="20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Responsable(s)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02_ActaConstitutiva_SemaforosMina_v0.1.docx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Creación del acta constitutiva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v0.1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(RAPR)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(OMPJ)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(HDCS)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(PCG)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02_ActaConstitutiva_SemaforosMina v0.2.docx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Corrección del acta constitutiva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v0.2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(RAPR)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(OMPJ)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(HDCS)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(PCG)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02_ActaConstitutiva_SemaforosMina_v1.0.docx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Validación del acta constitutiva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(RAPR)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(OMPJ)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(HDCS)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1" w:hanging="3"/>
              <w:jc w:val="center"/>
              <w:rPr>
                <w:rFonts w:ascii="Calibri" w:cs="Calibri" w:eastAsia="Calibri" w:hAnsi="Calibri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sz w:val="28"/>
                <w:szCs w:val="28"/>
                <w:rtl w:val="0"/>
              </w:rPr>
              <w:t xml:space="preserve">(PCG)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Patrocinador / Patrocinadores</w:t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Requerimientos del proyecto</w:t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_heading=h.djnrn1p24bc6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"_heading=h.djnrn1p24bc6"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Niveles de autoridad</w:t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hanging="2"/>
        <w:rPr>
          <w:color w:val="365f91"/>
        </w:rPr>
      </w:pPr>
      <w:bookmarkStart w:colFirst="0" w:colLast="0" w:name="_heading=h.q92lliganwd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hanging="2"/>
        <w:rPr>
          <w:color w:val="365f91"/>
        </w:rPr>
      </w:pPr>
      <w:bookmarkStart w:colFirst="0" w:colLast="0" w:name="_heading=h.rk3vdvnspn0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hanging="2"/>
        <w:rPr>
          <w:color w:val="365f91"/>
        </w:rPr>
      </w:pPr>
      <w:bookmarkStart w:colFirst="0" w:colLast="0" w:name="_heading=h.jsm0978novy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hanging="2"/>
        <w:rPr>
          <w:color w:val="365f91"/>
        </w:rPr>
      </w:pPr>
      <w:bookmarkStart w:colFirst="0" w:colLast="0" w:name="_heading=h.o5k320wsrog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hanging="2"/>
        <w:rPr>
          <w:color w:val="365f91"/>
        </w:rPr>
      </w:pPr>
      <w:bookmarkStart w:colFirst="0" w:colLast="0" w:name="_heading=h.1f6v75z0zw6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hanging="2"/>
        <w:rPr>
          <w:color w:val="365f91"/>
        </w:rPr>
      </w:pPr>
      <w:bookmarkStart w:colFirst="0" w:colLast="0" w:name="_heading=h.xj7o7qm8l71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hanging="2"/>
        <w:rPr>
          <w:color w:val="365f91"/>
        </w:rPr>
      </w:pPr>
      <w:bookmarkStart w:colFirst="0" w:colLast="0" w:name="_heading=h.dtwvprmerg9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color w:val="365f91"/>
          <w:sz w:val="32"/>
          <w:szCs w:val="32"/>
        </w:rPr>
      </w:pPr>
      <w:bookmarkStart w:colFirst="0" w:colLast="0" w:name="_heading=h.30j0zl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Datos</w:t>
      </w:r>
    </w:p>
    <w:tbl>
      <w:tblPr>
        <w:tblStyle w:val="Table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MURMA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SemáforosMina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13-02-2023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Juan Andrés Macias Gómez.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Luis Ángel Murillo del 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Ricardo Aldair Puente Reyes.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1fob9te" w:id="9"/>
      <w:bookmarkEnd w:id="9"/>
      <w:r w:rsidDel="00000000" w:rsidR="00000000" w:rsidRPr="00000000">
        <w:rPr>
          <w:b w:val="1"/>
          <w:color w:val="365f91"/>
          <w:rtl w:val="0"/>
        </w:rPr>
        <w:t xml:space="preserve">Patrocinador / Patrocinadores</w:t>
      </w:r>
    </w:p>
    <w:tbl>
      <w:tblPr>
        <w:tblStyle w:val="Table3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Luis Ángel Murillo del 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znysh7" w:id="10"/>
      <w:bookmarkEnd w:id="1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Propósito y Justificación del Proyecto</w:t>
      </w:r>
    </w:p>
    <w:tbl>
      <w:tblPr>
        <w:tblStyle w:val="Table4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40" w:before="24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implica diseñar y construir un semáforo de dos colores (rojo para cerrar intersecciones y verde para abrir las intersecciones), que servirá para la seguridad en el interior de la mina. Este dispositivo de señalización ayudará a prevenir situaciones peligrosas en las intersecciones, asegurando la protección de los trabajadores. Además, el semáforo será de utilidad para alertar de las zonas de peligro y señalar las áreas seguras en las que se puede trabajar sin riesgo alguno. En resumen, este proyecto es de gran ayuda para mejorar sensiblemente la seguridad en el trabajo y evitar accidentes que podrían ser catastróficos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47r9tyfe4ki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um9zioc2a0e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et92p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m42cbbvoa5f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f4uygk1p2kle" w:id="15"/>
      <w:bookmarkEnd w:id="15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Descripción del Proyecto y Entregables</w:t>
      </w:r>
    </w:p>
    <w:tbl>
      <w:tblPr>
        <w:tblStyle w:val="Table5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3254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proyecto consiste en un semáforo para intersecciones y rampas del interior de la mina, ayudando a la seguridad de los trabajadores informando con el color que se encuentre en funcionamiento si el área es segura o si el área se encuentra en peligro.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Entregables: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Código del sistema v1.0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Manual de usuario v1.0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Manual de mantenimiento v1.0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Manual de operación v1.0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Capacitación al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tyjcwt" w:id="16"/>
      <w:bookmarkEnd w:id="16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Requerimientos de alto nivel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3dy6vkm" w:id="17"/>
      <w:bookmarkEnd w:id="17"/>
      <w:r w:rsidDel="00000000" w:rsidR="00000000" w:rsidRPr="00000000">
        <w:rPr>
          <w:b w:val="1"/>
          <w:color w:val="365f91"/>
          <w:rtl w:val="0"/>
        </w:rPr>
        <w:t xml:space="preserve">Requerimientos del producto</w:t>
      </w:r>
    </w:p>
    <w:tbl>
      <w:tblPr>
        <w:tblStyle w:val="Table6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semáforo deberá prender de color verde cuando se dé la indicación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semáforo deberá de prender de color rojo cuando se dé la indicación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semáforo deberá de estar conectado por medio de conexión cableada de tipo LAN 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semáforo deberá de contar con una base para la instalación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1t3h5sf" w:id="18"/>
      <w:bookmarkEnd w:id="18"/>
      <w:r w:rsidDel="00000000" w:rsidR="00000000" w:rsidRPr="00000000">
        <w:rPr>
          <w:b w:val="1"/>
          <w:color w:val="365f91"/>
          <w:rtl w:val="0"/>
        </w:rPr>
        <w:t xml:space="preserve">Requerimientos del proyecto</w:t>
      </w:r>
    </w:p>
    <w:tbl>
      <w:tblPr>
        <w:tblStyle w:val="Table7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semáforo deberá de ser colocado por medio de red cableada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semáforo deberá contar con dos luces led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proyecto deberá ser entregado en un lapso de 14 semanas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Deberán realizarse juntas con el cliente cada dos semanas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djnrn1p24bc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de08uwxpm1wy" w:id="20"/>
      <w:bookmarkEnd w:id="2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Objetivos</w:t>
      </w:r>
    </w:p>
    <w:tbl>
      <w:tblPr>
        <w:tblStyle w:val="Table8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0"/>
          <w:trHeight w:val="223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se entregará como prototipo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producto del software deberá ser probado </w:t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Cumplir con las fechas establecidas del plan de proyecto.</w:t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producto de software debe ser validado.</w:t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Establecer y utilizar canales de comunicación de manera efectiva para el buen funcionamiento del equipo</w:t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Estar en constante comunicación con el cliente para el desarrollo del sistema de información.</w:t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producto de software debe ser verificado.</w:t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Cumplir con las actividades de aseguramiento de la calidad del desarrollo del software.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Introducir las prácticas de gestión de proyectos en el desarrollo del sistema de información.</w:t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equipo de desarrollo debe respetar los horarios de trabajo que se especifican en el documento EDT</w:t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equipo de desarrollo debe procurar el trabajo en armonía y con un buen ambiente laboral</w:t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producto de software debe contar con los atributos de calidad especificados por el cliente. </w:t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producto de software debe ser funcional.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equipo de desarrollo debe cumplir correctamente en tiempo y forma las actividades que se predisponen a cada integrante</w:t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Estar en constante comunicación con el cliente para el desarrollo del sistema de información.</w:t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consta de 14 semanas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240" w:before="24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$50,960.00 MXN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deberá cumplir con los requerimientos de la norma ISO/IEC 29110 combinada con el ciclo de vida de la metodología de SCRUM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hardware será desarrollado en un tiempo de 14 semanas en base al formato EDT (Plan de actividades)</w:t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Periodo de 14 semanas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s8eyo1" w:id="21"/>
      <w:bookmarkEnd w:id="2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Premisas y Restricciones</w:t>
      </w:r>
    </w:p>
    <w:tbl>
      <w:tblPr>
        <w:tblStyle w:val="Table9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240"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spacing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Disponibilidad de recursos adecuados como personal, tiempo, presupuesto y herramientas.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3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Comprensión clara de los objetivos del proyecto, requisitos del usuario y alcance del proyecto.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Acceso a tecnologías y herramientas apropiadas para la implementación del software.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3"/>
              </w:numPr>
              <w:spacing w:after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Comunicación y colaboración efectiva entre el equipo de proyecto y los stakeholders.</w:t>
            </w:r>
          </w:p>
          <w:p w:rsidR="00000000" w:rsidDel="00000000" w:rsidP="00000000" w:rsidRDefault="00000000" w:rsidRPr="00000000" w14:paraId="000000DD">
            <w:pPr>
              <w:spacing w:after="240"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7"/>
              </w:numPr>
              <w:spacing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Plazos y fechas límite definidas para el proyecto.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7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Presupuesto limitado.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7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Requisitos no funcionales específicos.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7"/>
              </w:numPr>
              <w:spacing w:after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Normas y regulaciones legales y de seguridad.</w:t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7dp8vu" w:id="22"/>
      <w:bookmarkEnd w:id="22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Riesgos iniciales de alto nivel</w:t>
      </w:r>
    </w:p>
    <w:tbl>
      <w:tblPr>
        <w:tblStyle w:val="Table10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spacing w:before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Requerimientos incompletos.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Cambios en los requerimientos o alcance del proyecto.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la tecnología y las herramientas utilizadas para el desarrollo del software.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la disponibilidad del equipo de proyecto.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la capacidad del equipo de proyecto.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el presupuesto del proyecto.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Problemas con el cronograma del proyecto.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Pérdida de backups.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spacing w:after="24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Fallo y/o problemas de la herramienta de Jira debido al poco o nulo conocimiento.</w:t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rdcrjn" w:id="23"/>
      <w:bookmarkEnd w:id="23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Cronograma de hitos principales</w:t>
      </w:r>
    </w:p>
    <w:tbl>
      <w:tblPr>
        <w:tblStyle w:val="Table11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ind w:left="0" w:hanging="2"/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ind w:left="0" w:hanging="2"/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27/02/2023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Primera entrega de avances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24/03/2023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Segunda entrega de avances del proyecto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24/04/2023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Tercera entrega de avances del proyecto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11/05/2023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  <w:r w:rsidDel="00000000" w:rsidR="00000000" w:rsidRPr="00000000">
              <w:rPr>
                <w:color w:val="000000"/>
                <w:rtl w:val="0"/>
              </w:rPr>
              <w:t xml:space="preserve">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25/05/2023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final del proyecto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02/06/2023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6in1rg" w:id="24"/>
      <w:bookmarkEnd w:id="24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Presupuesto estimado</w:t>
      </w:r>
    </w:p>
    <w:tbl>
      <w:tblPr>
        <w:tblStyle w:val="Table1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240" w:before="24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(Talent.com, 2023) El salario del programador promedio en México es de $144, 000.00 MXN al año o $73.80 MXN por hora. Los cargos de nivel inicial comienzan con un ingreso de $84,000.00 MXN al año, mientras que profesionales más experimentados perciben hasta $265,001.00 MXN al año.</w:t>
            </w:r>
          </w:p>
          <w:p w:rsidR="00000000" w:rsidDel="00000000" w:rsidP="00000000" w:rsidRDefault="00000000" w:rsidRPr="00000000" w14:paraId="000000FD">
            <w:pPr>
              <w:spacing w:after="240" w:before="24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promedio un programador recibe $12,000.00 MXN por mes basado en 10,000 salarios, de esos $12,000.00 MXN entre los 30 días del mes le toca al programador de a $400.00 MXN por día, y supongamos que el programador trabaja 8 horas de jornada diaria, de estos $400.00 MXN entre 8 horas toca a $50.00 MXN por hora, se va a establecer un costo de $65.00 MXN /hora para dejar un colchón de imprevistos.</w:t>
            </w:r>
          </w:p>
          <w:p w:rsidR="00000000" w:rsidDel="00000000" w:rsidP="00000000" w:rsidRDefault="00000000" w:rsidRPr="00000000" w14:paraId="000000FE">
            <w:pPr>
              <w:spacing w:after="240" w:before="24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Son exactamente 7 personas en total del equipo de hardware y software en donde son 14 semanas destinadas para el proyecto, de esas 14 semanas son 98 días, pero en este caso no se van a contar los fines de semana, y si es de lunes a viernes son exactamente 70 días, suponiendo que se va a trabajar en el proyecto aproximadamente 1.6 horas por día, por persona serian $104.00 MXN, a lo cual, por equipo serían $728.MXN al día por equipo, y si son 70 días, entonces sería un total de </w:t>
            </w:r>
            <w:r w:rsidDel="00000000" w:rsidR="00000000" w:rsidRPr="00000000">
              <w:rPr>
                <w:color w:val="ff0000"/>
                <w:rtl w:val="0"/>
              </w:rPr>
              <w:t xml:space="preserve">$50,960.00 MXN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F">
            <w:pPr>
              <w:spacing w:after="240" w:before="24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SON $50,960.00 MX (CINCUENTA MIL NOVECIENTOS SESENTA 00/100 MN)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lnxbz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Lista de Interesados (stakeholders)</w:t>
      </w:r>
    </w:p>
    <w:tbl>
      <w:tblPr>
        <w:tblStyle w:val="Table13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Ricardo Aldair Puente Reyes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Héctor Daniel Castro Salazar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Osiel Mauricio Pérez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calidad y procesos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Paola Correa Gómez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Rocio Berenice Marco Jiménez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de soporte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Rocio Soriano Quintero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Auxiliar de soporte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Cinthia Canales Medina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Auxiliar de soporte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José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Coach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Ángel Murillo Del Rio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general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Andrés MacÍas Gómez 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dhwscg16xec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rj2qd8pyp3fx" w:id="27"/>
      <w:bookmarkEnd w:id="27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Requisitos de aprobación del proyecto</w:t>
      </w:r>
    </w:p>
    <w:tbl>
      <w:tblPr>
        <w:tblStyle w:val="Table14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numPr>
                <w:ilvl w:val="0"/>
                <w:numId w:val="5"/>
              </w:numPr>
              <w:spacing w:line="240" w:lineRule="auto"/>
              <w:ind w:left="708.6614173228347" w:hanging="425.196850393700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Detallado, especificaciones técnicas y documentación del usuario.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5"/>
              </w:numPr>
              <w:spacing w:line="240" w:lineRule="auto"/>
              <w:ind w:left="708.6614173228347" w:hanging="425.196850393700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Demostración satisfactoria del software funcionando con todas sus funciones clave.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5"/>
              </w:numPr>
              <w:spacing w:line="240" w:lineRule="auto"/>
              <w:ind w:left="708.6614173228347" w:hanging="425.196850393700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exhaustivas y aprobación por parte del equipo de pruebas y calidad.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5"/>
              </w:numPr>
              <w:spacing w:line="240" w:lineRule="auto"/>
              <w:ind w:left="708.6614173228347" w:hanging="425.196850393700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la escalabilidad, seguridad y rendimiento del hardware.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5"/>
              </w:numPr>
              <w:spacing w:line="240" w:lineRule="auto"/>
              <w:ind w:left="708.6614173228347" w:hanging="425.196850393700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la satisfacción del cliente y del equipo de desarrollo con el resultado final del proyecto.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5"/>
              </w:numPr>
              <w:spacing w:line="240" w:lineRule="auto"/>
              <w:ind w:left="708.6614173228347" w:hanging="425.196850393700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del cumplimiento con los estándares y regulaciones aplicables al proyecto.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5"/>
              </w:numPr>
              <w:spacing w:after="240" w:line="240" w:lineRule="auto"/>
              <w:ind w:left="708.6614173228347" w:hanging="425.1968503937008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por parte del equipo de liderazgo y/o del cliente final.</w:t>
            </w:r>
          </w:p>
          <w:p w:rsidR="00000000" w:rsidDel="00000000" w:rsidP="00000000" w:rsidRDefault="00000000" w:rsidRPr="00000000" w14:paraId="0000013C">
            <w:pPr>
              <w:spacing w:after="240" w:before="24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ksv4u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44sinio" w:id="29"/>
      <w:bookmarkEnd w:id="29"/>
      <w:r w:rsidDel="00000000" w:rsidR="00000000" w:rsidRPr="00000000">
        <w:rPr>
          <w:b w:val="1"/>
          <w:color w:val="365f91"/>
          <w:rtl w:val="0"/>
        </w:rPr>
        <w:t xml:space="preserve">Gerente de Proyecto</w:t>
      </w:r>
    </w:p>
    <w:tbl>
      <w:tblPr>
        <w:tblStyle w:val="Table15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Ricardo Aldair Puente Reyes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Líder/Gerente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2jxsxqh" w:id="30"/>
      <w:bookmarkEnd w:id="30"/>
      <w:r w:rsidDel="00000000" w:rsidR="00000000" w:rsidRPr="00000000">
        <w:rPr>
          <w:b w:val="1"/>
          <w:color w:val="365f91"/>
          <w:rtl w:val="0"/>
        </w:rPr>
        <w:t xml:space="preserve">Niveles de autoridad</w:t>
      </w:r>
    </w:p>
    <w:tbl>
      <w:tblPr>
        <w:tblStyle w:val="Table16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de personal (Staffing)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Gestión de presupuesto y de sus variaciones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 del proyecto, Personal de soporte y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técnicas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Resolución de conflictos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Ruta de escalamiento y limitaciones de autoridad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z337ya" w:id="31"/>
      <w:bookmarkEnd w:id="3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Personal y recursos preasignados</w:t>
      </w:r>
    </w:p>
    <w:tbl>
      <w:tblPr>
        <w:tblStyle w:val="Table17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Componentes (Raspberry Pi 4, leds, cableado)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Subgerente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Office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Equipo de computo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Coordinador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Equipo de computo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Apoyo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j2qqm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Verificaciones y Validaciones</w:t>
      </w:r>
    </w:p>
    <w:tbl>
      <w:tblPr>
        <w:tblStyle w:val="Table18"/>
        <w:tblW w:w="89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15"/>
        <w:gridCol w:w="1620"/>
        <w:gridCol w:w="1545"/>
        <w:gridCol w:w="2460"/>
        <w:tblGridChange w:id="0">
          <w:tblGrid>
            <w:gridCol w:w="3315"/>
            <w:gridCol w:w="1620"/>
            <w:gridCol w:w="1545"/>
            <w:gridCol w:w="2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Verificación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ind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Osiel Mauricio Pérez Juárez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ind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Verificación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ind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21/02/2023</w:t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ind w:hanging="2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/>
              <w:drawing>
                <wp:inline distB="0" distT="0" distL="0" distR="0">
                  <wp:extent cx="815975" cy="39941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399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ind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Osiel Mauricio Pérez Juárez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ind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Verificación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ind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22/02/2023</w:t>
            </w:r>
          </w:p>
        </w:tc>
        <w:tc>
          <w:tcPr/>
          <w:p w:rsidR="00000000" w:rsidDel="00000000" w:rsidP="00000000" w:rsidRDefault="00000000" w:rsidRPr="00000000" w14:paraId="00000180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ind w:hanging="2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/>
              <w:drawing>
                <wp:inline distB="0" distT="0" distL="0" distR="0">
                  <wp:extent cx="815975" cy="39941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399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ind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Juan Andrés Macías Gómez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ind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Validación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ind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23/02/2023</w:t>
            </w:r>
          </w:p>
        </w:tc>
        <w:tc>
          <w:tcPr/>
          <w:p w:rsidR="00000000" w:rsidDel="00000000" w:rsidP="00000000" w:rsidRDefault="00000000" w:rsidRPr="00000000" w14:paraId="00000184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</w:rPr>
              <w:drawing>
                <wp:inline distB="0" distT="0" distL="0" distR="0">
                  <wp:extent cx="820420" cy="574675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20" cy="574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Arial Rounded"/>
  <w:font w:name="Tahoma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tabs>
        <w:tab w:val="center" w:leader="none" w:pos="4550"/>
        <w:tab w:val="left" w:leader="none" w:pos="5818"/>
      </w:tabs>
      <w:ind w:left="0" w:right="260" w:hanging="2"/>
      <w:jc w:val="right"/>
      <w:rPr>
        <w:color w:val="222a35"/>
      </w:rPr>
    </w:pPr>
    <w:r w:rsidDel="00000000" w:rsidR="00000000" w:rsidRPr="00000000">
      <w:rPr>
        <w:color w:val="8496b0"/>
        <w:rtl w:val="0"/>
      </w:rPr>
      <w:t xml:space="preserve">Página </w:t>
    </w:r>
    <w:r w:rsidDel="00000000" w:rsidR="00000000" w:rsidRPr="00000000">
      <w:rPr>
        <w:color w:val="323e4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rtl w:val="0"/>
      </w:rPr>
      <w:t xml:space="preserve"> | </w:t>
    </w:r>
    <w:r w:rsidDel="00000000" w:rsidR="00000000" w:rsidRPr="00000000">
      <w:rPr>
        <w:color w:val="323e4f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tabs>
        <w:tab w:val="center" w:leader="none" w:pos="4252"/>
        <w:tab w:val="right" w:leader="none" w:pos="8504"/>
      </w:tabs>
      <w:spacing w:line="240" w:lineRule="auto"/>
      <w:ind w:firstLine="0"/>
      <w:jc w:val="center"/>
      <w:rPr>
        <w:rFonts w:ascii="Arial Rounded" w:cs="Arial Rounded" w:eastAsia="Arial Rounded" w:hAnsi="Arial Rounded"/>
        <w:b w:val="1"/>
        <w:color w:val="0070c0"/>
        <w:sz w:val="22"/>
        <w:szCs w:val="22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color w:val="0070c0"/>
        <w:sz w:val="22"/>
        <w:szCs w:val="22"/>
        <w:rtl w:val="0"/>
      </w:rPr>
      <w:t xml:space="preserve">Laboratorio de Microcontroladores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1" w:hanging="3"/>
      <w:jc w:val="center"/>
      <w:rPr>
        <w:rFonts w:ascii="Tahoma" w:cs="Tahoma" w:eastAsia="Tahoma" w:hAnsi="Tahoma"/>
        <w:color w:val="000000"/>
      </w:rPr>
    </w:pPr>
    <w:r w:rsidDel="00000000" w:rsidR="00000000" w:rsidRPr="00000000">
      <w:rPr>
        <w:rFonts w:ascii="Tahoma" w:cs="Tahoma" w:eastAsia="Tahoma" w:hAnsi="Tahoma"/>
        <w:color w:val="000000"/>
        <w:sz w:val="28"/>
        <w:szCs w:val="28"/>
        <w:rtl w:val="0"/>
      </w:rPr>
      <w:t xml:space="preserve">INSTITUTO TECNOLÓGICO SUPERIOR ZACATECAS OCCIDENTE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-260980</wp:posOffset>
          </wp:positionH>
          <wp:positionV relativeFrom="paragraph">
            <wp:posOffset>-173985</wp:posOffset>
          </wp:positionV>
          <wp:extent cx="882015" cy="82867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1" w:hanging="3"/>
      <w:jc w:val="center"/>
      <w:rPr>
        <w:rFonts w:ascii="Tahoma" w:cs="Tahoma" w:eastAsia="Tahoma" w:hAnsi="Tahoma"/>
        <w:color w:val="000000"/>
        <w:sz w:val="28"/>
        <w:szCs w:val="28"/>
      </w:rPr>
    </w:pPr>
    <w:r w:rsidDel="00000000" w:rsidR="00000000" w:rsidRPr="00000000">
      <w:rPr>
        <w:rFonts w:ascii="Tahoma" w:cs="Tahoma" w:eastAsia="Tahoma" w:hAnsi="Tahoma"/>
        <w:color w:val="000000"/>
        <w:sz w:val="28"/>
        <w:szCs w:val="28"/>
        <w:rtl w:val="0"/>
      </w:rPr>
      <w:t xml:space="preserve">Acta Constitutiva del Proyecto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neCakYDii6okaj9eTIetNnWUKQ==">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