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Pr>
            <w:webHidden/>
          </w:rPr>
          <w:fldChar w:fldCharType="begin"/>
        </w:r>
        <w:r w:rsidR="001A4DCA">
          <w:rPr>
            <w:webHidden/>
          </w:rPr>
          <w:instrText xml:space="preserve"> PAGEREF _Toc525145017 \h </w:instrText>
        </w:r>
        <w:r w:rsidR="001A4DCA">
          <w:rPr>
            <w:webHidden/>
          </w:rPr>
        </w:r>
        <w:r w:rsidR="001A4DCA">
          <w:rPr>
            <w:webHidden/>
          </w:rPr>
          <w:fldChar w:fldCharType="separate"/>
        </w:r>
        <w:r w:rsidR="001A4DCA">
          <w:rPr>
            <w:webHidden/>
          </w:rPr>
          <w:t>1</w:t>
        </w:r>
        <w:r w:rsidR="001A4DCA">
          <w:rPr>
            <w:webHidden/>
          </w:rPr>
          <w:fldChar w:fldCharType="end"/>
        </w:r>
      </w:hyperlink>
    </w:p>
    <w:p w:rsidR="001A4DCA" w:rsidRDefault="00005F58" w:rsidP="001A4DCA">
      <w:pPr>
        <w:pStyle w:val="TDC1"/>
        <w:rPr>
          <w:rFonts w:eastAsiaTheme="minorEastAsia"/>
          <w:lang w:eastAsia="es-AR"/>
        </w:rPr>
      </w:pPr>
      <w:hyperlink w:anchor="_Toc525145018" w:history="1">
        <w:r w:rsidR="001A4DCA" w:rsidRPr="001817DE">
          <w:rPr>
            <w:rStyle w:val="Hipervnculo"/>
            <w:rFonts w:eastAsia="Times New Roman"/>
          </w:rPr>
          <w:t>MARCO TEÓRICO</w:t>
        </w:r>
        <w:r w:rsidR="001A4DCA">
          <w:rPr>
            <w:webHidden/>
          </w:rPr>
          <w:tab/>
        </w:r>
        <w:r w:rsidR="001A4DCA">
          <w:rPr>
            <w:webHidden/>
          </w:rPr>
          <w:fldChar w:fldCharType="begin"/>
        </w:r>
        <w:r w:rsidR="001A4DCA">
          <w:rPr>
            <w:webHidden/>
          </w:rPr>
          <w:instrText xml:space="preserve"> PAGEREF _Toc525145018 \h </w:instrText>
        </w:r>
        <w:r w:rsidR="001A4DCA">
          <w:rPr>
            <w:webHidden/>
          </w:rPr>
        </w:r>
        <w:r w:rsidR="001A4DCA">
          <w:rPr>
            <w:webHidden/>
          </w:rPr>
          <w:fldChar w:fldCharType="separate"/>
        </w:r>
        <w:r w:rsidR="001A4DCA">
          <w:rPr>
            <w:webHidden/>
          </w:rPr>
          <w:t>2</w:t>
        </w:r>
        <w:r w:rsidR="001A4DCA">
          <w:rPr>
            <w:webHidden/>
          </w:rPr>
          <w:fldChar w:fldCharType="end"/>
        </w:r>
      </w:hyperlink>
    </w:p>
    <w:p w:rsidR="001A4DCA" w:rsidRDefault="00005F58">
      <w:pPr>
        <w:pStyle w:val="TDC2"/>
        <w:tabs>
          <w:tab w:val="right" w:leader="dot" w:pos="8828"/>
        </w:tabs>
        <w:rPr>
          <w:rFonts w:eastAsiaTheme="minorEastAsia"/>
          <w:noProof/>
          <w:lang w:eastAsia="es-AR"/>
        </w:rPr>
      </w:pPr>
      <w:hyperlink w:anchor="_Toc525145019" w:history="1">
        <w:r w:rsidR="001A4DCA" w:rsidRPr="001817DE">
          <w:rPr>
            <w:rStyle w:val="Hipervnculo"/>
            <w:rFonts w:ascii="Times New Roman" w:hAnsi="Times New Roman" w:cs="Times New Roman"/>
            <w:noProof/>
          </w:rPr>
          <w:t>JUSTIFICACIONES EN LA ELECCIÓN DE LOS MEDIOS:</w:t>
        </w:r>
        <w:r w:rsidR="001A4DCA">
          <w:rPr>
            <w:noProof/>
            <w:webHidden/>
          </w:rPr>
          <w:tab/>
        </w:r>
        <w:r w:rsidR="001A4DCA">
          <w:rPr>
            <w:noProof/>
            <w:webHidden/>
          </w:rPr>
          <w:fldChar w:fldCharType="begin"/>
        </w:r>
        <w:r w:rsidR="001A4DCA">
          <w:rPr>
            <w:noProof/>
            <w:webHidden/>
          </w:rPr>
          <w:instrText xml:space="preserve"> PAGEREF _Toc525145019 \h </w:instrText>
        </w:r>
        <w:r w:rsidR="001A4DCA">
          <w:rPr>
            <w:noProof/>
            <w:webHidden/>
          </w:rPr>
        </w:r>
        <w:r w:rsidR="001A4DCA">
          <w:rPr>
            <w:noProof/>
            <w:webHidden/>
          </w:rPr>
          <w:fldChar w:fldCharType="separate"/>
        </w:r>
        <w:r w:rsidR="001A4DCA">
          <w:rPr>
            <w:noProof/>
            <w:webHidden/>
          </w:rPr>
          <w:t>14</w:t>
        </w:r>
        <w:r w:rsidR="001A4DCA">
          <w:rPr>
            <w:noProof/>
            <w:webHidden/>
          </w:rPr>
          <w:fldChar w:fldCharType="end"/>
        </w:r>
      </w:hyperlink>
    </w:p>
    <w:p w:rsidR="001A4DCA" w:rsidRDefault="00005F58" w:rsidP="001A4DCA">
      <w:pPr>
        <w:pStyle w:val="TDC1"/>
        <w:rPr>
          <w:rFonts w:eastAsiaTheme="minorEastAsia"/>
          <w:lang w:eastAsia="es-AR"/>
        </w:rPr>
      </w:pPr>
      <w:hyperlink w:anchor="_Toc525145020" w:history="1">
        <w:r w:rsidR="001A4DCA" w:rsidRPr="001817DE">
          <w:rPr>
            <w:rStyle w:val="Hipervnculo"/>
          </w:rPr>
          <w:t>MARCO METODOLOGICO</w:t>
        </w:r>
        <w:r w:rsidR="001A4DCA">
          <w:rPr>
            <w:webHidden/>
          </w:rPr>
          <w:tab/>
        </w:r>
        <w:r w:rsidR="001A4DCA">
          <w:rPr>
            <w:webHidden/>
          </w:rPr>
          <w:fldChar w:fldCharType="begin"/>
        </w:r>
        <w:r w:rsidR="001A4DCA">
          <w:rPr>
            <w:webHidden/>
          </w:rPr>
          <w:instrText xml:space="preserve"> PAGEREF _Toc525145020 \h </w:instrText>
        </w:r>
        <w:r w:rsidR="001A4DCA">
          <w:rPr>
            <w:webHidden/>
          </w:rPr>
        </w:r>
        <w:r w:rsidR="001A4DCA">
          <w:rPr>
            <w:webHidden/>
          </w:rPr>
          <w:fldChar w:fldCharType="separate"/>
        </w:r>
        <w:r w:rsidR="001A4DCA">
          <w:rPr>
            <w:webHidden/>
          </w:rPr>
          <w:t>15</w:t>
        </w:r>
        <w:r w:rsidR="001A4DCA">
          <w:rPr>
            <w:webHidden/>
          </w:rPr>
          <w:fldChar w:fldCharType="end"/>
        </w:r>
      </w:hyperlink>
    </w:p>
    <w:p w:rsidR="001A4DCA" w:rsidRDefault="00005F58">
      <w:pPr>
        <w:pStyle w:val="TDC2"/>
        <w:tabs>
          <w:tab w:val="right" w:leader="dot" w:pos="8828"/>
        </w:tabs>
        <w:rPr>
          <w:rFonts w:eastAsiaTheme="minorEastAsia"/>
          <w:noProof/>
          <w:lang w:eastAsia="es-AR"/>
        </w:rPr>
      </w:pPr>
      <w:hyperlink w:anchor="_Toc525145021" w:history="1">
        <w:r w:rsidR="001A4DCA" w:rsidRPr="001817DE">
          <w:rPr>
            <w:rStyle w:val="Hipervnculo"/>
            <w:rFonts w:ascii="Times New Roman" w:hAnsi="Times New Roman" w:cs="Times New Roman"/>
            <w:noProof/>
          </w:rPr>
          <w:t>MARCO LEGAL</w:t>
        </w:r>
        <w:r w:rsidR="001A4DCA">
          <w:rPr>
            <w:noProof/>
            <w:webHidden/>
          </w:rPr>
          <w:tab/>
        </w:r>
        <w:r w:rsidR="001A4DCA">
          <w:rPr>
            <w:noProof/>
            <w:webHidden/>
          </w:rPr>
          <w:fldChar w:fldCharType="begin"/>
        </w:r>
        <w:r w:rsidR="001A4DCA">
          <w:rPr>
            <w:noProof/>
            <w:webHidden/>
          </w:rPr>
          <w:instrText xml:space="preserve"> PAGEREF _Toc525145021 \h </w:instrText>
        </w:r>
        <w:r w:rsidR="001A4DCA">
          <w:rPr>
            <w:noProof/>
            <w:webHidden/>
          </w:rPr>
        </w:r>
        <w:r w:rsidR="001A4DCA">
          <w:rPr>
            <w:noProof/>
            <w:webHidden/>
          </w:rPr>
          <w:fldChar w:fldCharType="separate"/>
        </w:r>
        <w:r w:rsidR="001A4DCA">
          <w:rPr>
            <w:noProof/>
            <w:webHidden/>
          </w:rPr>
          <w:t>16</w:t>
        </w:r>
        <w:r w:rsidR="001A4DCA">
          <w:rPr>
            <w:noProof/>
            <w:webHidden/>
          </w:rPr>
          <w:fldChar w:fldCharType="end"/>
        </w:r>
      </w:hyperlink>
    </w:p>
    <w:p w:rsidR="001A4DCA" w:rsidRPr="001A4DCA" w:rsidRDefault="00005F58" w:rsidP="001A4DCA">
      <w:pPr>
        <w:pStyle w:val="TDC1"/>
        <w:rPr>
          <w:rFonts w:eastAsiaTheme="minorEastAsia"/>
          <w:lang w:eastAsia="es-AR"/>
        </w:rPr>
      </w:pPr>
      <w:hyperlink w:anchor="_Toc525145022" w:history="1">
        <w:r w:rsidR="001A4DCA" w:rsidRPr="001A4DCA">
          <w:rPr>
            <w:rStyle w:val="Hipervnculo"/>
          </w:rPr>
          <w:t>REFERENCIAS BIBLIOGRAFICAS:</w:t>
        </w:r>
        <w:r w:rsidR="001A4DCA" w:rsidRPr="001A4DCA">
          <w:rPr>
            <w:webHidden/>
          </w:rPr>
          <w:tab/>
        </w:r>
        <w:r w:rsidR="001A4DCA" w:rsidRPr="001A4DCA">
          <w:rPr>
            <w:webHidden/>
          </w:rPr>
          <w:fldChar w:fldCharType="begin"/>
        </w:r>
        <w:r w:rsidR="001A4DCA" w:rsidRPr="001A4DCA">
          <w:rPr>
            <w:webHidden/>
          </w:rPr>
          <w:instrText xml:space="preserve"> PAGEREF _Toc525145022 \h </w:instrText>
        </w:r>
        <w:r w:rsidR="001A4DCA" w:rsidRPr="001A4DCA">
          <w:rPr>
            <w:webHidden/>
          </w:rPr>
        </w:r>
        <w:r w:rsidR="001A4DCA" w:rsidRPr="001A4DCA">
          <w:rPr>
            <w:webHidden/>
          </w:rPr>
          <w:fldChar w:fldCharType="separate"/>
        </w:r>
        <w:r w:rsidR="001A4DCA" w:rsidRPr="001A4DCA">
          <w:rPr>
            <w:webHidden/>
          </w:rPr>
          <w:t>20</w:t>
        </w:r>
        <w:r w:rsidR="001A4DCA"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514501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La investigación, cuyo problema se enunció anteriormente, pretende determinar cuál fue el rol que jugaron </w:t>
      </w:r>
      <w:r>
        <w:rPr>
          <w:rFonts w:ascii="Times New Roman" w:eastAsia="Times New Roman" w:hAnsi="Times New Roman" w:cs="Times New Roman"/>
          <w:sz w:val="24"/>
          <w:szCs w:val="24"/>
        </w:rPr>
        <w:t xml:space="preserve">ABC Color y </w:t>
      </w:r>
      <w:r w:rsidR="00EB770F">
        <w:rPr>
          <w:rFonts w:ascii="Times New Roman" w:eastAsia="Times New Roman" w:hAnsi="Times New Roman" w:cs="Times New Roman"/>
          <w:sz w:val="24"/>
          <w:szCs w:val="24"/>
        </w:rPr>
        <w:t xml:space="preserve">Última Hora en la destitución presidencial de Fernando Lugo en </w:t>
      </w:r>
      <w:proofErr w:type="spellStart"/>
      <w:r w:rsidR="00EB770F">
        <w:rPr>
          <w:rFonts w:ascii="Times New Roman" w:eastAsia="Times New Roman" w:hAnsi="Times New Roman" w:cs="Times New Roman"/>
          <w:sz w:val="24"/>
          <w:szCs w:val="24"/>
        </w:rPr>
        <w:t>Mendez</w:t>
      </w:r>
      <w:proofErr w:type="spellEnd"/>
      <w:r w:rsidR="00EB770F">
        <w:rPr>
          <w:rFonts w:ascii="Times New Roman" w:eastAsia="Times New Roman" w:hAnsi="Times New Roman" w:cs="Times New Roman"/>
          <w:sz w:val="24"/>
          <w:szCs w:val="24"/>
        </w:rPr>
        <w:t xml:space="preserve"> en junio de 2012 en Paraguay</w:t>
      </w: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5145018"/>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w:t>
      </w:r>
      <w:r w:rsidR="009B171B">
        <w:rPr>
          <w:rFonts w:ascii="Times New Roman" w:eastAsia="Times New Roman" w:hAnsi="Times New Roman" w:cs="Times New Roman"/>
          <w:sz w:val="24"/>
          <w:szCs w:val="24"/>
        </w:rPr>
        <w:lastRenderedPageBreak/>
        <w:t xml:space="preserve">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 xml:space="preserve">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3D20FF" w:rsidRPr="00935509"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w:t>
      </w:r>
      <w:r w:rsidRPr="00935509">
        <w:rPr>
          <w:rFonts w:ascii="Times New Roman" w:eastAsia="Times New Roman" w:hAnsi="Times New Roman" w:cs="Times New Roman"/>
          <w:sz w:val="24"/>
          <w:szCs w:val="24"/>
        </w:rPr>
        <w:lastRenderedPageBreak/>
        <w:t xml:space="preserve">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D20FF" w:rsidRDefault="003D20FF" w:rsidP="003D20FF">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AF2627" w:rsidRDefault="00500FC6" w:rsidP="00500FC6">
      <w:pPr>
        <w:spacing w:line="360" w:lineRule="auto"/>
        <w:jc w:val="both"/>
        <w:rPr>
          <w:rFonts w:ascii="Times New Roman" w:eastAsia="Times New Roman" w:hAnsi="Times New Roman" w:cs="Times New Roman"/>
          <w:color w:val="FF0000"/>
          <w:sz w:val="24"/>
          <w:szCs w:val="24"/>
        </w:rPr>
      </w:pPr>
      <w:r w:rsidRPr="00AF2627">
        <w:rPr>
          <w:rFonts w:ascii="Times New Roman" w:eastAsia="Times New Roman" w:hAnsi="Times New Roman" w:cs="Times New Roman"/>
          <w:color w:val="FF0000"/>
          <w:sz w:val="24"/>
          <w:szCs w:val="24"/>
        </w:rPr>
        <w:t xml:space="preserve">Teniendo presente lo planteado anteriormente, en el caso paraguayo el </w:t>
      </w:r>
      <w:proofErr w:type="spellStart"/>
      <w:r w:rsidRPr="00AF2627">
        <w:rPr>
          <w:rFonts w:ascii="Times New Roman" w:eastAsia="Times New Roman" w:hAnsi="Times New Roman" w:cs="Times New Roman"/>
          <w:color w:val="FF0000"/>
          <w:sz w:val="24"/>
          <w:szCs w:val="24"/>
        </w:rPr>
        <w:t>luguismo</w:t>
      </w:r>
      <w:proofErr w:type="spellEnd"/>
      <w:r w:rsidRPr="00AF2627">
        <w:rPr>
          <w:rFonts w:ascii="Times New Roman" w:eastAsia="Times New Roman" w:hAnsi="Times New Roman" w:cs="Times New Roman"/>
          <w:color w:val="FF0000"/>
          <w:sz w:val="24"/>
          <w:szCs w:val="24"/>
        </w:rPr>
        <w:t xml:space="preserve"> carecía de un actor político que pudiera ocupar las calles en su nombre ni tampoco de una riqueza estatal en términos económicos ya que en el país vecino, desde el periodo </w:t>
      </w:r>
      <w:proofErr w:type="spellStart"/>
      <w:r w:rsidRPr="00AF2627">
        <w:rPr>
          <w:rFonts w:ascii="Times New Roman" w:eastAsia="Times New Roman" w:hAnsi="Times New Roman" w:cs="Times New Roman"/>
          <w:color w:val="FF0000"/>
          <w:sz w:val="24"/>
          <w:szCs w:val="24"/>
        </w:rPr>
        <w:t>stronista</w:t>
      </w:r>
      <w:proofErr w:type="spellEnd"/>
      <w:r w:rsidRPr="00AF2627">
        <w:rPr>
          <w:rFonts w:ascii="Times New Roman" w:eastAsia="Times New Roman" w:hAnsi="Times New Roman" w:cs="Times New Roman"/>
          <w:color w:val="FF0000"/>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w:t>
      </w:r>
      <w:r w:rsidR="00103876">
        <w:rPr>
          <w:rFonts w:ascii="Times New Roman" w:eastAsia="Times New Roman" w:hAnsi="Times New Roman" w:cs="Times New Roman"/>
          <w:sz w:val="24"/>
          <w:szCs w:val="24"/>
        </w:rPr>
        <w:lastRenderedPageBreak/>
        <w:t>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afirma “el juicio político es uno de los múltiples desenlaces posibles de una crisis presidencial” (p. 26).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 xml:space="preserve">venía a cuestionar el papel que se le había otorgado entre los intelectuales del presidencialismo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Default="00D94510"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obstante, se considera fundamental tener en consideración el concepto de </w:t>
      </w:r>
      <w:r w:rsidR="00337F72" w:rsidRPr="00FE105A">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w:t>
      </w:r>
      <w:r w:rsidR="00AC6623">
        <w:rPr>
          <w:rFonts w:ascii="Times New Roman" w:eastAsia="Times New Roman" w:hAnsi="Times New Roman" w:cs="Times New Roman"/>
          <w:sz w:val="24"/>
          <w:szCs w:val="24"/>
        </w:rPr>
        <w:t xml:space="preserve"> una sustitución fraudulenta de gobernantes orquestada y ejecutada por líderes parlamentarios.</w:t>
      </w:r>
      <w:r>
        <w:rPr>
          <w:rFonts w:ascii="Times New Roman" w:eastAsia="Times New Roman" w:hAnsi="Times New Roman" w:cs="Times New Roman"/>
          <w:sz w:val="24"/>
          <w:szCs w:val="24"/>
        </w:rPr>
        <w:t xml:space="preserve"> La misma i</w:t>
      </w:r>
      <w:r w:rsidR="00AC6623">
        <w:rPr>
          <w:rFonts w:ascii="Times New Roman" w:eastAsia="Times New Roman" w:hAnsi="Times New Roman" w:cs="Times New Roman"/>
          <w:sz w:val="24"/>
          <w:szCs w:val="24"/>
        </w:rPr>
        <w:t xml:space="preserve">ndica una modalidad de ruptura de gobierno. </w:t>
      </w:r>
    </w:p>
    <w:p w:rsidR="00D94510" w:rsidRDefault="00D94510" w:rsidP="003261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w:t>
      </w:r>
      <w:r w:rsidR="00E24DFC">
        <w:rPr>
          <w:rFonts w:ascii="Times New Roman" w:hAnsi="Times New Roman" w:cs="Times New Roman"/>
          <w:sz w:val="24"/>
          <w:szCs w:val="24"/>
        </w:rPr>
        <w:t xml:space="preserve">u otros sectores </w:t>
      </w:r>
      <w:r>
        <w:rPr>
          <w:rFonts w:ascii="Times New Roman" w:hAnsi="Times New Roman" w:cs="Times New Roman"/>
          <w:sz w:val="24"/>
          <w:szCs w:val="24"/>
        </w:rPr>
        <w:t xml:space="preserve">son las únicas que atentan contra la democracia. En realidad, </w:t>
      </w:r>
      <w:r w:rsidR="00E24DFC">
        <w:rPr>
          <w:rFonts w:ascii="Times New Roman" w:hAnsi="Times New Roman" w:cs="Times New Roman"/>
          <w:sz w:val="24"/>
          <w:szCs w:val="24"/>
        </w:rPr>
        <w:t xml:space="preserve">los diferentes tipos de fraudes </w:t>
      </w:r>
      <w:r w:rsidR="006C1322">
        <w:rPr>
          <w:rFonts w:ascii="Times New Roman" w:hAnsi="Times New Roman" w:cs="Times New Roman"/>
          <w:sz w:val="24"/>
          <w:szCs w:val="24"/>
        </w:rPr>
        <w:t xml:space="preserve">que pueden surgir en una competencia democrática, en diversas sociedades, </w:t>
      </w:r>
      <w:r w:rsidR="00C0188F">
        <w:rPr>
          <w:rFonts w:ascii="Times New Roman" w:hAnsi="Times New Roman" w:cs="Times New Roman"/>
          <w:sz w:val="24"/>
          <w:szCs w:val="24"/>
        </w:rPr>
        <w:t xml:space="preserve">escapan a </w:t>
      </w:r>
      <w:r w:rsidR="006F1714">
        <w:rPr>
          <w:rFonts w:ascii="Times New Roman" w:hAnsi="Times New Roman" w:cs="Times New Roman"/>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Default="002709D9" w:rsidP="00FE105A">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00337F72" w:rsidRPr="00FE105A">
        <w:rPr>
          <w:rFonts w:ascii="Times New Roman" w:hAnsi="Times New Roman" w:cs="Times New Roman"/>
          <w:sz w:val="24"/>
          <w:szCs w:val="24"/>
          <w:shd w:val="clear" w:color="auto" w:fill="FFFFFF"/>
        </w:rPr>
        <w:t xml:space="preserve">os golpes parlamentarios sólo ocurren en sistemas de democracia representativa. </w:t>
      </w:r>
      <w:r>
        <w:rPr>
          <w:rFonts w:ascii="Times New Roman" w:hAnsi="Times New Roman" w:cs="Times New Roman"/>
          <w:sz w:val="24"/>
          <w:szCs w:val="24"/>
          <w:shd w:val="clear" w:color="auto" w:fill="FFFFFF"/>
        </w:rPr>
        <w:t>“</w:t>
      </w:r>
      <w:r w:rsidR="00337F72" w:rsidRPr="00FE105A">
        <w:rPr>
          <w:rFonts w:ascii="Times New Roman" w:hAnsi="Times New Roman" w:cs="Times New Roman"/>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Pr>
          <w:rFonts w:ascii="Times New Roman" w:hAnsi="Times New Roman" w:cs="Times New Roman"/>
          <w:sz w:val="24"/>
          <w:szCs w:val="24"/>
          <w:shd w:val="clear" w:color="auto" w:fill="FFFFFF"/>
        </w:rPr>
        <w:t>” (</w:t>
      </w:r>
      <w:r w:rsidR="00D6270C">
        <w:rPr>
          <w:rFonts w:ascii="Times New Roman" w:hAnsi="Times New Roman" w:cs="Times New Roman"/>
          <w:sz w:val="24"/>
          <w:szCs w:val="24"/>
          <w:shd w:val="clear" w:color="auto" w:fill="FFFFFF"/>
        </w:rPr>
        <w:t xml:space="preserve">Santos, 2017: 12). </w:t>
      </w:r>
      <w:r>
        <w:rPr>
          <w:rFonts w:ascii="Times New Roman" w:hAnsi="Times New Roman" w:cs="Times New Roman"/>
          <w:sz w:val="24"/>
          <w:szCs w:val="24"/>
          <w:shd w:val="clear" w:color="auto" w:fill="FFFFFF"/>
        </w:rPr>
        <w:t xml:space="preserve">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2709D9" w:rsidRDefault="001516E1" w:rsidP="001516E1">
      <w:pPr>
        <w:pStyle w:val="HTMLconformatoprevio"/>
        <w:shd w:val="clear" w:color="auto" w:fill="FFFFFF"/>
        <w:spacing w:line="360" w:lineRule="auto"/>
        <w:jc w:val="both"/>
        <w:rPr>
          <w:rFonts w:ascii="Times New Roman" w:hAnsi="Times New Roman" w:cs="Times New Roman"/>
          <w:sz w:val="24"/>
          <w:szCs w:val="24"/>
          <w:lang w:val="es-ES"/>
        </w:rPr>
      </w:pPr>
    </w:p>
    <w:p w:rsidR="00A869B7"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golpes militares -que, si tienen éxito, buscan desde luego consolidar las condiciones que los protegieron, desalojando a los oficiales opositores de posiciones de poder 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E3FB7">
        <w:rPr>
          <w:rFonts w:ascii="Times New Roman" w:hAnsi="Times New Roman" w:cs="Times New Roman"/>
          <w:sz w:val="24"/>
          <w:szCs w:val="24"/>
        </w:rPr>
        <w:t>”</w:t>
      </w:r>
      <w:r w:rsidR="001516E1">
        <w:rPr>
          <w:rFonts w:ascii="Times New Roman" w:hAnsi="Times New Roman" w:cs="Times New Roman"/>
          <w:sz w:val="24"/>
          <w:szCs w:val="24"/>
        </w:rPr>
        <w:t>.</w:t>
      </w:r>
      <w:r w:rsidR="00A0714E">
        <w:rPr>
          <w:rFonts w:ascii="Times New Roman" w:hAnsi="Times New Roman" w:cs="Times New Roman"/>
          <w:sz w:val="24"/>
          <w:szCs w:val="24"/>
        </w:rPr>
        <w:t xml:space="preserve"> (</w:t>
      </w:r>
      <w:r w:rsidR="00D6270C">
        <w:rPr>
          <w:rFonts w:ascii="Times New Roman" w:hAnsi="Times New Roman" w:cs="Times New Roman"/>
          <w:sz w:val="24"/>
          <w:szCs w:val="24"/>
        </w:rPr>
        <w:t>Santos, 2017: 16</w:t>
      </w:r>
      <w:r w:rsidR="00A0714E">
        <w:rPr>
          <w:rFonts w:ascii="Times New Roman" w:hAnsi="Times New Roman" w:cs="Times New Roman"/>
          <w:sz w:val="24"/>
          <w:szCs w:val="24"/>
        </w:rPr>
        <w:t>)</w:t>
      </w:r>
      <w:r w:rsidR="00D6270C">
        <w:rPr>
          <w:rFonts w:ascii="Times New Roman" w:hAnsi="Times New Roman" w:cs="Times New Roman"/>
          <w:sz w:val="24"/>
          <w:szCs w:val="24"/>
        </w:rPr>
        <w:t>.</w:t>
      </w:r>
      <w:r w:rsidR="00A0714E">
        <w:rPr>
          <w:rFonts w:ascii="Times New Roman" w:hAnsi="Times New Roman" w:cs="Times New Roman"/>
          <w:sz w:val="24"/>
          <w:szCs w:val="24"/>
        </w:rPr>
        <w:t xml:space="preserve"> </w:t>
      </w:r>
    </w:p>
    <w:p w:rsidR="00A869B7" w:rsidRDefault="00A869B7" w:rsidP="001516E1">
      <w:pPr>
        <w:pStyle w:val="HTMLconformatoprevio"/>
        <w:shd w:val="clear" w:color="auto" w:fill="FFFFFF"/>
        <w:spacing w:line="360" w:lineRule="auto"/>
        <w:jc w:val="both"/>
        <w:rPr>
          <w:rFonts w:ascii="Times New Roman" w:hAnsi="Times New Roman" w:cs="Times New Roman"/>
          <w:sz w:val="24"/>
          <w:szCs w:val="24"/>
        </w:rPr>
      </w:pPr>
    </w:p>
    <w:p w:rsidR="00A869B7"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lastRenderedPageBreak/>
        <w:t>Por el contrario,</w:t>
      </w:r>
    </w:p>
    <w:p w:rsidR="00EF66AD"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 xml:space="preserve"> </w:t>
      </w:r>
      <w:proofErr w:type="gramStart"/>
      <w:r w:rsidRPr="00073373">
        <w:rPr>
          <w:rFonts w:ascii="Times New Roman" w:hAnsi="Times New Roman" w:cs="Times New Roman"/>
          <w:color w:val="FF0000"/>
          <w:sz w:val="24"/>
          <w:szCs w:val="24"/>
        </w:rPr>
        <w:t>cautela</w:t>
      </w:r>
      <w:proofErr w:type="gramEnd"/>
      <w:r w:rsidRPr="00073373">
        <w:rPr>
          <w:rFonts w:ascii="Times New Roman" w:hAnsi="Times New Roman" w:cs="Times New Roman"/>
          <w:color w:val="FF0000"/>
          <w:sz w:val="24"/>
          <w:szCs w:val="24"/>
        </w:rPr>
        <w:t xml:space="preserve"> aparentando virtud en la administración de las instituciones, en contraste también con los conocidos golpes civiles, que requieren transmutaciones legales ad hoc, prestando una aparente legitimidad a la ocupación fraudulenta del poder. La ceremonia del golpismo parlamentario contemporáneo mantiene casi intactos los ritos habituales, pero obedece a un </w:t>
      </w:r>
      <w:proofErr w:type="spellStart"/>
      <w:r w:rsidRPr="00073373">
        <w:rPr>
          <w:rFonts w:ascii="Times New Roman" w:hAnsi="Times New Roman" w:cs="Times New Roman"/>
          <w:color w:val="FF0000"/>
          <w:sz w:val="24"/>
          <w:szCs w:val="24"/>
        </w:rPr>
        <w:t>guión</w:t>
      </w:r>
      <w:proofErr w:type="spellEnd"/>
      <w:r w:rsidRPr="00073373">
        <w:rPr>
          <w:rFonts w:ascii="Times New Roman" w:hAnsi="Times New Roman" w:cs="Times New Roman"/>
          <w:color w:val="FF0000"/>
          <w:sz w:val="24"/>
          <w:szCs w:val="24"/>
        </w:rPr>
        <w:t xml:space="preserve"> especial en la proposición de leyes y en la utilización de rutinas conocidas para una extensa subversión política, económica y social del orden destituido”.</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6620E0" w:rsidRDefault="002709D9" w:rsidP="00073373">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 caso de Fernando Lugo en</w:t>
      </w:r>
      <w:r w:rsidR="00FE105A" w:rsidRPr="00A35912">
        <w:rPr>
          <w:rFonts w:ascii="Times New Roman" w:hAnsi="Times New Roman" w:cs="Times New Roman"/>
          <w:sz w:val="24"/>
          <w:szCs w:val="24"/>
          <w:shd w:val="clear" w:color="auto" w:fill="FFFFFF"/>
        </w:rPr>
        <w:t xml:space="preserve"> Paraguay </w:t>
      </w:r>
      <w:r>
        <w:rPr>
          <w:rFonts w:ascii="Times New Roman" w:hAnsi="Times New Roman" w:cs="Times New Roman"/>
          <w:sz w:val="24"/>
          <w:szCs w:val="24"/>
          <w:shd w:val="clear" w:color="auto" w:fill="FFFFFF"/>
        </w:rPr>
        <w:t>no se sitúa como paradigmático</w:t>
      </w:r>
      <w:r w:rsidR="00FE105A" w:rsidRPr="00A35912">
        <w:rPr>
          <w:rFonts w:ascii="Times New Roman" w:hAnsi="Times New Roman" w:cs="Times New Roman"/>
          <w:sz w:val="24"/>
          <w:szCs w:val="24"/>
          <w:shd w:val="clear" w:color="auto" w:fill="FFFFFF"/>
        </w:rPr>
        <w:t xml:space="preserve">, sino como </w:t>
      </w:r>
      <w:r>
        <w:rPr>
          <w:rFonts w:ascii="Times New Roman" w:hAnsi="Times New Roman" w:cs="Times New Roman"/>
          <w:sz w:val="24"/>
          <w:szCs w:val="24"/>
          <w:shd w:val="clear" w:color="auto" w:fill="FFFFFF"/>
        </w:rPr>
        <w:t>un ejemplo actual</w:t>
      </w:r>
      <w:r w:rsidR="00FE105A" w:rsidRPr="00A35912">
        <w:rPr>
          <w:rFonts w:ascii="Times New Roman" w:hAnsi="Times New Roman" w:cs="Times New Roman"/>
          <w:sz w:val="24"/>
          <w:szCs w:val="24"/>
          <w:shd w:val="clear" w:color="auto" w:fill="FFFFFF"/>
        </w:rPr>
        <w:t xml:space="preserve"> del fenómeno</w:t>
      </w:r>
      <w:r w:rsidR="00A35912" w:rsidRPr="00A35912">
        <w:rPr>
          <w:rFonts w:ascii="Times New Roman" w:hAnsi="Times New Roman" w:cs="Times New Roman"/>
          <w:sz w:val="24"/>
          <w:szCs w:val="24"/>
          <w:shd w:val="clear" w:color="auto" w:fill="FFFFFF"/>
        </w:rPr>
        <w:t xml:space="preserve"> que es el principal sujeto de </w:t>
      </w:r>
      <w:r w:rsidR="00FE105A"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r w:rsidR="00073373">
        <w:rPr>
          <w:rFonts w:ascii="Times New Roman" w:hAnsi="Times New Roman" w:cs="Times New Roman"/>
          <w:sz w:val="24"/>
          <w:szCs w:val="24"/>
          <w:shd w:val="clear" w:color="auto" w:fill="FFFFFF"/>
        </w:rPr>
        <w:t xml:space="preserve">. </w:t>
      </w:r>
    </w:p>
    <w:p w:rsidR="00A0714E"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Por otro lado,</w:t>
      </w:r>
      <w:r w:rsidR="002A4A76">
        <w:rPr>
          <w:rFonts w:ascii="Times New Roman" w:hAnsi="Times New Roman" w:cs="Times New Roman"/>
          <w:sz w:val="24"/>
          <w:szCs w:val="24"/>
          <w:shd w:val="clear" w:color="auto" w:fill="FFFFFF"/>
        </w:rPr>
        <w:t xml:space="preserve"> teniendo presentes el objetivo general del trabajo de investigación se considera necesario formular</w:t>
      </w:r>
      <w:r w:rsidR="00C01A93">
        <w:rPr>
          <w:rFonts w:ascii="Times New Roman" w:hAnsi="Times New Roman" w:cs="Times New Roman"/>
          <w:sz w:val="24"/>
          <w:szCs w:val="24"/>
          <w:shd w:val="clear" w:color="auto" w:fill="FFFFFF"/>
        </w:rPr>
        <w:t xml:space="preserve"> </w:t>
      </w:r>
      <w:r w:rsidR="002A4A76">
        <w:rPr>
          <w:rFonts w:ascii="Times New Roman" w:hAnsi="Times New Roman" w:cs="Times New Roman"/>
          <w:sz w:val="24"/>
          <w:szCs w:val="24"/>
          <w:shd w:val="clear" w:color="auto" w:fill="FFFFFF"/>
        </w:rPr>
        <w:t xml:space="preserve"> una serie de conceptos </w:t>
      </w:r>
      <w:r w:rsidR="00C01A93">
        <w:rPr>
          <w:rFonts w:ascii="Times New Roman" w:hAnsi="Times New Roman" w:cs="Times New Roman"/>
          <w:sz w:val="24"/>
          <w:szCs w:val="24"/>
          <w:shd w:val="clear" w:color="auto" w:fill="FFFFFF"/>
        </w:rPr>
        <w:t>que permitirán realizar un análisis sobre los medios de comunicaci</w:t>
      </w:r>
      <w:r w:rsidR="00872DB4">
        <w:rPr>
          <w:rFonts w:ascii="Times New Roman" w:hAnsi="Times New Roman" w:cs="Times New Roman"/>
          <w:sz w:val="24"/>
          <w:szCs w:val="24"/>
          <w:shd w:val="clear" w:color="auto" w:fill="FFFFFF"/>
        </w:rPr>
        <w:t>ón seleccionados. 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generaran notoriedad y cuáles pasarán al olvido. Dado el papel definidor que cumple la </w:t>
      </w:r>
      <w:r>
        <w:rPr>
          <w:rFonts w:ascii="Times New Roman" w:hAnsi="Times New Roman" w:cs="Times New Roman"/>
          <w:sz w:val="24"/>
          <w:szCs w:val="24"/>
          <w:shd w:val="clear" w:color="auto" w:fill="FFFFFF"/>
        </w:rPr>
        <w:lastRenderedPageBreak/>
        <w:t xml:space="preserve">prensa, el lector </w:t>
      </w:r>
      <w:r w:rsidR="00262CF0">
        <w:rPr>
          <w:rFonts w:ascii="Times New Roman" w:hAnsi="Times New Roman" w:cs="Times New Roman"/>
          <w:sz w:val="24"/>
          <w:szCs w:val="24"/>
          <w:shd w:val="clear" w:color="auto" w:fill="FFFFFF"/>
        </w:rPr>
        <w:t xml:space="preserve">sabrá que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de acuerdo a sus representaciones, al mismo tiempo que contribuyen a la manutención del status quo en la sociedad. Al mismo tiempo que el periodismo intenta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Expositivo: el editorialista enuncia hechos conectados desde un punto de vista particular, sin añadir conceptos que revelen una posición abiertamente definida.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w:t>
      </w:r>
      <w:r w:rsidRPr="005E7081">
        <w:rPr>
          <w:rFonts w:ascii="Times New Roman" w:hAnsi="Times New Roman" w:cs="Times New Roman"/>
          <w:sz w:val="24"/>
          <w:szCs w:val="24"/>
          <w:shd w:val="clear" w:color="auto" w:fill="FFFFFF"/>
        </w:rPr>
        <w:tab/>
        <w:t xml:space="preserve">Explicativo: manifiesta las causas de los acontecimientos, relaciona los hechos en busca de una comprensión clara, a veces dialéctica, de las interrelaciones de los elementos del hecho.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Apologético: pertenece a los órganos oficialistas y tiene como fin hacer propaganda de sus acciones.</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“La propia producción del discurso periodístico (desde la sociedad y para ella) lo configura como un discurso social. Se nutre de los acontecimientos que ocurren en la sociedad y ésta, para informarse de lo que sucede en ella, recurre a los medios</w:t>
      </w:r>
      <w:r w:rsidR="00F11AFC">
        <w:rPr>
          <w:rFonts w:ascii="Times New Roman" w:hAnsi="Times New Roman" w:cs="Times New Roman"/>
          <w:sz w:val="24"/>
          <w:szCs w:val="24"/>
          <w:shd w:val="clear" w:color="auto" w:fill="FFFFFF"/>
        </w:rPr>
        <w:t xml:space="preserve"> de comunicación”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5E7081" w:rsidRPr="005E7081">
        <w:rPr>
          <w:rFonts w:ascii="Times New Roman" w:hAnsi="Times New Roman" w:cs="Times New Roman"/>
          <w:sz w:val="24"/>
          <w:szCs w:val="24"/>
          <w:shd w:val="clear" w:color="auto" w:fill="FFFFFF"/>
        </w:rPr>
        <w:t>“La agenda temática de los medios de comunicación crea relaciones de poder, partiendo de la base de que existe una fuerte vinculación entre la agenda de los medios de comunicación y la agenda pública, y retomando a Saperas, coincidimos en que es la primera la que inicia el proceso” (</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073373">
        <w:rPr>
          <w:rFonts w:ascii="Times New Roman" w:hAnsi="Times New Roman" w:cs="Times New Roman"/>
          <w:sz w:val="24"/>
          <w:szCs w:val="24"/>
        </w:rPr>
        <w:t>“</w:t>
      </w:r>
      <w:r w:rsidR="009D7268" w:rsidRPr="003D20FF">
        <w:rPr>
          <w:rFonts w:ascii="Times New Roman" w:hAnsi="Times New Roman" w:cs="Times New Roman"/>
          <w:sz w:val="24"/>
          <w:szCs w:val="24"/>
        </w:rPr>
        <w:t xml:space="preserve">las corporaciones de medios se determinan como 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“acciones o acontecimientos que involucran cierto tipo</w:t>
      </w:r>
      <w:r w:rsidR="00073373">
        <w:rPr>
          <w:rFonts w:ascii="Times New Roman" w:hAnsi="Times New Roman" w:cs="Times New Roman"/>
          <w:sz w:val="24"/>
          <w:szCs w:val="24"/>
        </w:rPr>
        <w:t xml:space="preserve"> de</w:t>
      </w:r>
      <w:r w:rsidR="00DB3ED3">
        <w:rPr>
          <w:rFonts w:ascii="Times New Roman" w:hAnsi="Times New Roman" w:cs="Times New Roman"/>
          <w:sz w:val="24"/>
          <w:szCs w:val="24"/>
        </w:rPr>
        <w:t xml:space="preserve"> transgresiones que se dan a conocer a terceros y son lo suficientemente graves como para suscitar una reacción pública” (Thompson, 2000:13)</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combinación de política democrática con el desarrollo de cadenas de televisión, el surgimiento de grupos corporativos de medios y la profesionalización de las redacciones </w:t>
      </w:r>
      <w:r>
        <w:rPr>
          <w:rFonts w:ascii="Times New Roman" w:eastAsia="Times New Roman" w:hAnsi="Times New Roman" w:cs="Times New Roman"/>
          <w:sz w:val="24"/>
          <w:szCs w:val="24"/>
        </w:rPr>
        <w:lastRenderedPageBreak/>
        <w:t>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“El poder de desencadenar un escándalo es uno de los puntos más fuertes que las corporaciones mediáticas pueden traer a la mesa de negociaciones con los gobiernos” (Pérez Liñán, 2007: 128)</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A56F81">
        <w:rPr>
          <w:rFonts w:ascii="Times New Roman" w:eastAsia="Times New Roman" w:hAnsi="Times New Roman" w:cs="Times New Roman"/>
          <w:sz w:val="24"/>
          <w:szCs w:val="24"/>
        </w:rPr>
        <w:t>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 xml:space="preserve">Los de carácter </w:t>
      </w:r>
      <w:r w:rsidR="00CC27C3" w:rsidRPr="00CC27C3">
        <w:rPr>
          <w:rFonts w:ascii="Times New Roman" w:eastAsia="Times New Roman" w:hAnsi="Times New Roman" w:cs="Times New Roman"/>
          <w:sz w:val="24"/>
          <w:szCs w:val="24"/>
        </w:rPr>
        <w:lastRenderedPageBreak/>
        <w:t>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w:t>
      </w:r>
      <w:r>
        <w:rPr>
          <w:rFonts w:ascii="Times New Roman" w:eastAsia="Times New Roman" w:hAnsi="Times New Roman" w:cs="Times New Roman"/>
          <w:sz w:val="24"/>
          <w:szCs w:val="24"/>
        </w:rPr>
        <w:lastRenderedPageBreak/>
        <w:t xml:space="preserve">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80084D" w:rsidRPr="0080084D" w:rsidRDefault="0080084D" w:rsidP="002C1226">
      <w:pPr>
        <w:spacing w:line="360" w:lineRule="auto"/>
        <w:jc w:val="both"/>
        <w:rPr>
          <w:rFonts w:ascii="Times New Roman" w:eastAsia="Times New Roman" w:hAnsi="Times New Roman" w:cs="Times New Roman"/>
          <w:color w:val="FF0000"/>
          <w:sz w:val="24"/>
          <w:szCs w:val="24"/>
        </w:rPr>
      </w:pPr>
    </w:p>
    <w:p w:rsidR="0080084D" w:rsidRDefault="0080084D" w:rsidP="002C1226">
      <w:pPr>
        <w:spacing w:line="360" w:lineRule="auto"/>
        <w:jc w:val="both"/>
        <w:rPr>
          <w:rFonts w:ascii="Times New Roman" w:eastAsia="Times New Roman" w:hAnsi="Times New Roman" w:cs="Times New Roman"/>
          <w:color w:val="FF0000"/>
          <w:sz w:val="24"/>
          <w:szCs w:val="24"/>
        </w:rPr>
      </w:pPr>
      <w:r w:rsidRPr="0080084D">
        <w:rPr>
          <w:rFonts w:ascii="Times New Roman" w:eastAsia="Times New Roman" w:hAnsi="Times New Roman" w:cs="Times New Roman"/>
          <w:color w:val="FF0000"/>
          <w:sz w:val="24"/>
          <w:szCs w:val="24"/>
        </w:rPr>
        <w:t>ANÁLISIS COMPARADO</w:t>
      </w:r>
      <w:r>
        <w:rPr>
          <w:rFonts w:ascii="Times New Roman" w:eastAsia="Times New Roman" w:hAnsi="Times New Roman" w:cs="Times New Roman"/>
          <w:color w:val="FF0000"/>
          <w:sz w:val="24"/>
          <w:szCs w:val="24"/>
        </w:rPr>
        <w:t xml:space="preserve">: la importancia del análisis comparado y cuáles son los alcances espaciales y temporales de los casos seleccionados en la comparación </w:t>
      </w:r>
    </w:p>
    <w:p w:rsidR="00FD08FF" w:rsidRPr="0080084D" w:rsidRDefault="0080084D" w:rsidP="002C1226">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FD08FF" w:rsidRPr="00935509" w:rsidRDefault="00FD08FF"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HIPÓTESIS QUE PUEDEN SER INTERESANTES PARA EL TRABAJO:</w:t>
      </w:r>
    </w:p>
    <w:p w:rsidR="00FD08FF" w:rsidRPr="00935509" w:rsidRDefault="00FD08FF"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dueños de la prensa hegemónica proveyeron de una narrativa de la crisis y construyeron las representaciones e ideología que justificaron el juicio político a Fernando Lugo en 2012” </w:t>
      </w:r>
    </w:p>
    <w:p w:rsidR="000D3DF0" w:rsidRDefault="000D3DF0"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lastRenderedPageBreak/>
        <w:t xml:space="preserve">“Los medios de comunicación se convierten en dispositivos privilegiados para proveer de las representaciones e ideología golpista imprescindibles para demostrar la necesidad del juicio político y su posterior justificación”. </w:t>
      </w:r>
    </w:p>
    <w:p w:rsidR="007C5E49" w:rsidRDefault="007C5E49" w:rsidP="007C5E49">
      <w:pPr>
        <w:spacing w:line="360" w:lineRule="auto"/>
        <w:jc w:val="both"/>
        <w:rPr>
          <w:rFonts w:ascii="Times New Roman" w:hAnsi="Times New Roman" w:cs="Times New Roman"/>
          <w:sz w:val="24"/>
          <w:szCs w:val="24"/>
        </w:rPr>
      </w:pPr>
    </w:p>
    <w:p w:rsidR="007C5E49" w:rsidRPr="007C5E49" w:rsidRDefault="007C5E49" w:rsidP="007C5E49">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2" w:name="_Toc525145019"/>
      <w:r w:rsidRPr="00935509">
        <w:rPr>
          <w:rFonts w:ascii="Times New Roman" w:hAnsi="Times New Roman" w:cs="Times New Roman"/>
          <w:sz w:val="24"/>
          <w:szCs w:val="24"/>
        </w:rPr>
        <w:t>JUSTIFICACIONES EN LA ELECCIÓN DE LOS MEDIOS:</w:t>
      </w:r>
      <w:bookmarkEnd w:id="2"/>
      <w:r w:rsidRPr="00935509">
        <w:rPr>
          <w:rFonts w:ascii="Times New Roman" w:hAnsi="Times New Roman" w:cs="Times New Roman"/>
          <w:sz w:val="24"/>
          <w:szCs w:val="24"/>
        </w:rPr>
        <w:t xml:space="preserve"> </w:t>
      </w:r>
    </w:p>
    <w:p w:rsidR="006C0026" w:rsidRDefault="006C0026" w:rsidP="006C0026"/>
    <w:p w:rsidR="006C0026" w:rsidRPr="00233B6E" w:rsidRDefault="006C0026" w:rsidP="00233B6E">
      <w:pPr>
        <w:spacing w:line="360" w:lineRule="auto"/>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w:t>
      </w:r>
      <w:r>
        <w:rPr>
          <w:rFonts w:ascii="Times New Roman" w:hAnsi="Times New Roman" w:cs="Times New Roman"/>
          <w:sz w:val="24"/>
          <w:szCs w:val="24"/>
        </w:rPr>
        <w:lastRenderedPageBreak/>
        <w:t>medio</w:t>
      </w:r>
      <w:r w:rsidR="006C0026">
        <w:rPr>
          <w:rFonts w:ascii="Times New Roman" w:hAnsi="Times New Roman" w:cs="Times New Roman"/>
          <w:sz w:val="24"/>
          <w:szCs w:val="24"/>
        </w:rPr>
        <w:t xml:space="preserve"> de comunicación</w:t>
      </w:r>
      <w:r>
        <w:rPr>
          <w:rFonts w:ascii="Times New Roman" w:hAnsi="Times New Roman" w:cs="Times New Roman"/>
          <w:sz w:val="24"/>
          <w:szCs w:val="24"/>
        </w:rPr>
        <w:t xml:space="preserve"> que logra instalar la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E232C6">
        <w:rPr>
          <w:rFonts w:ascii="Times New Roman" w:hAnsi="Times New Roman" w:cs="Times New Roman"/>
          <w:sz w:val="24"/>
          <w:szCs w:val="24"/>
        </w:rPr>
        <w:t xml:space="preserve">“Última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 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735E14" w:rsidRDefault="00735E14" w:rsidP="000D3DF0">
      <w:pPr>
        <w:spacing w:line="360" w:lineRule="auto"/>
        <w:jc w:val="both"/>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41650D" w:rsidRDefault="0041650D" w:rsidP="000D3DF0">
      <w:pPr>
        <w:spacing w:line="360" w:lineRule="auto"/>
        <w:jc w:val="both"/>
        <w:rPr>
          <w:rFonts w:ascii="Times New Roman" w:hAnsi="Times New Roman" w:cs="Times New Roman"/>
          <w:sz w:val="24"/>
          <w:szCs w:val="24"/>
        </w:rPr>
      </w:pPr>
    </w:p>
    <w:p w:rsidR="00883197" w:rsidRDefault="00883197" w:rsidP="00E95615">
      <w:pPr>
        <w:pStyle w:val="Ttulo1"/>
        <w:rPr>
          <w:rFonts w:ascii="Times New Roman" w:hAnsi="Times New Roman" w:cs="Times New Roman"/>
          <w:sz w:val="24"/>
          <w:szCs w:val="24"/>
        </w:rPr>
      </w:pPr>
      <w:bookmarkStart w:id="3" w:name="_Toc525145020"/>
      <w:r>
        <w:rPr>
          <w:rFonts w:ascii="Times New Roman" w:hAnsi="Times New Roman" w:cs="Times New Roman"/>
          <w:sz w:val="24"/>
          <w:szCs w:val="24"/>
        </w:rPr>
        <w:t>MARCO METODOLOGICO</w:t>
      </w:r>
      <w:bookmarkEnd w:id="3"/>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w:t>
      </w:r>
      <w:r w:rsidR="00827BDB">
        <w:rPr>
          <w:rFonts w:ascii="Times New Roman" w:hAnsi="Times New Roman" w:cs="Times New Roman"/>
          <w:sz w:val="24"/>
          <w:szCs w:val="24"/>
        </w:rPr>
        <w:t xml:space="preserve"> </w:t>
      </w:r>
      <w:proofErr w:type="spellStart"/>
      <w:r w:rsidR="00827BDB">
        <w:rPr>
          <w:rFonts w:ascii="Times New Roman" w:hAnsi="Times New Roman" w:cs="Times New Roman"/>
          <w:sz w:val="24"/>
          <w:szCs w:val="24"/>
        </w:rPr>
        <w:t>Gaido</w:t>
      </w:r>
      <w:proofErr w:type="spellEnd"/>
      <w:r>
        <w:rPr>
          <w:rFonts w:ascii="Times New Roman" w:hAnsi="Times New Roman" w:cs="Times New Roman"/>
          <w:sz w:val="24"/>
          <w:szCs w:val="24"/>
        </w:rPr>
        <w:t>)</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Se realizará </w:t>
      </w:r>
      <w:r w:rsidR="001D6553">
        <w:rPr>
          <w:rFonts w:ascii="Times New Roman" w:hAnsi="Times New Roman" w:cs="Times New Roman"/>
          <w:sz w:val="24"/>
          <w:szCs w:val="24"/>
        </w:rPr>
        <w:t xml:space="preserve">unos abordajes </w:t>
      </w:r>
      <w:proofErr w:type="spellStart"/>
      <w:r w:rsidR="001D6553">
        <w:rPr>
          <w:rFonts w:ascii="Times New Roman" w:hAnsi="Times New Roman" w:cs="Times New Roman"/>
          <w:sz w:val="24"/>
          <w:szCs w:val="24"/>
        </w:rPr>
        <w:t>sociosemiotico</w:t>
      </w:r>
      <w:proofErr w:type="spellEnd"/>
      <w:r w:rsidR="001D6553">
        <w:rPr>
          <w:rFonts w:ascii="Times New Roman" w:hAnsi="Times New Roman" w:cs="Times New Roman"/>
          <w:sz w:val="24"/>
          <w:szCs w:val="24"/>
        </w:rPr>
        <w:t xml:space="preserve"> de la prensa entendiendo a los medios de comunicación como un conjunto de significaciones que se manifiestan a través de los textos, considerados</w:t>
      </w:r>
      <w:r w:rsidR="00883197">
        <w:rPr>
          <w:rFonts w:ascii="Times New Roman" w:hAnsi="Times New Roman" w:cs="Times New Roman"/>
          <w:sz w:val="24"/>
          <w:szCs w:val="24"/>
        </w:rPr>
        <w:t xml:space="preserve"> donde se produce el sentido y se desarrollan las prácticas significantes. Es así que se intentará explorar la situación comunicativa y las condiciones de producción de la significación desde los discursos que la producen</w:t>
      </w:r>
      <w:r>
        <w:rPr>
          <w:rFonts w:ascii="Times New Roman" w:hAnsi="Times New Roman" w:cs="Times New Roman"/>
          <w:sz w:val="24"/>
          <w:szCs w:val="24"/>
        </w:rPr>
        <w:t>”</w:t>
      </w:r>
      <w:r w:rsidR="00883197">
        <w:rPr>
          <w:rFonts w:ascii="Times New Roman" w:hAnsi="Times New Roman" w:cs="Times New Roman"/>
          <w:sz w:val="24"/>
          <w:szCs w:val="24"/>
        </w:rPr>
        <w:t xml:space="preserve">. </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883197">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w:t>
      </w:r>
      <w:r w:rsidR="001D6553">
        <w:rPr>
          <w:rFonts w:ascii="Times New Roman" w:hAnsi="Times New Roman" w:cs="Times New Roman"/>
          <w:sz w:val="24"/>
          <w:szCs w:val="24"/>
        </w:rPr>
        <w:t>así</w:t>
      </w:r>
      <w:r w:rsidR="00883197">
        <w:rPr>
          <w:rFonts w:ascii="Times New Roman" w:hAnsi="Times New Roman" w:cs="Times New Roman"/>
          <w:sz w:val="24"/>
          <w:szCs w:val="24"/>
        </w:rPr>
        <w:t xml:space="preserve"> también las modalidades discursivas que dan cuenta de la relación entre un enunciado y el sujeto que lo produce. </w:t>
      </w:r>
      <w:r w:rsidR="001D6553">
        <w:rPr>
          <w:rFonts w:ascii="Times New Roman" w:hAnsi="Times New Roman" w:cs="Times New Roman"/>
          <w:sz w:val="24"/>
          <w:szCs w:val="24"/>
        </w:rPr>
        <w:t xml:space="preserve">Además se tendrán en consideración las técnicas argumentativas utilizadas y las </w:t>
      </w:r>
      <w:proofErr w:type="spellStart"/>
      <w:r w:rsidR="001D6553">
        <w:rPr>
          <w:rFonts w:ascii="Times New Roman" w:hAnsi="Times New Roman" w:cs="Times New Roman"/>
          <w:sz w:val="24"/>
          <w:szCs w:val="24"/>
        </w:rPr>
        <w:t>modlizaciones</w:t>
      </w:r>
      <w:proofErr w:type="spellEnd"/>
      <w:r w:rsidR="001D6553">
        <w:rPr>
          <w:rFonts w:ascii="Times New Roman" w:hAnsi="Times New Roman" w:cs="Times New Roman"/>
          <w:sz w:val="24"/>
          <w:szCs w:val="24"/>
        </w:rPr>
        <w:t xml:space="preserve"> a través de las cuales el diario introduce una perspectiva </w:t>
      </w:r>
      <w:proofErr w:type="spellStart"/>
      <w:r w:rsidR="001D6553">
        <w:rPr>
          <w:rFonts w:ascii="Times New Roman" w:hAnsi="Times New Roman" w:cs="Times New Roman"/>
          <w:sz w:val="24"/>
          <w:szCs w:val="24"/>
        </w:rPr>
        <w:t>accional</w:t>
      </w:r>
      <w:proofErr w:type="spellEnd"/>
      <w:r w:rsidR="001D6553">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1D6553" w:rsidRPr="001D6553">
        <w:rPr>
          <w:rFonts w:ascii="Times New Roman" w:hAnsi="Times New Roman" w:cs="Times New Roman"/>
          <w:b/>
          <w:sz w:val="24"/>
          <w:szCs w:val="24"/>
        </w:rPr>
        <w:t>discursos políticos argumentativos</w:t>
      </w:r>
      <w:r w:rsidR="001D6553">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2B641D" w:rsidRDefault="002B641D"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análisis se intentara comprender la significación como el resultado de estrategias discursivas que se conciben como un sistema organizado de significaciones articuladas y a</w:t>
      </w:r>
      <w:r w:rsidR="00827BDB">
        <w:rPr>
          <w:rFonts w:ascii="Times New Roman" w:hAnsi="Times New Roman" w:cs="Times New Roman"/>
          <w:sz w:val="24"/>
          <w:szCs w:val="24"/>
        </w:rPr>
        <w:t xml:space="preserve">rticuladoras de sentido social”. </w:t>
      </w:r>
    </w:p>
    <w:p w:rsidR="00827BDB" w:rsidRDefault="00827BDB" w:rsidP="000D3DF0">
      <w:pPr>
        <w:spacing w:line="360" w:lineRule="auto"/>
        <w:jc w:val="both"/>
        <w:rPr>
          <w:rFonts w:ascii="Times New Roman" w:hAnsi="Times New Roman" w:cs="Times New Roman"/>
          <w:b/>
          <w:color w:val="FF0000"/>
          <w:sz w:val="24"/>
          <w:szCs w:val="24"/>
        </w:rPr>
      </w:pPr>
      <w:r w:rsidRPr="00827BDB">
        <w:rPr>
          <w:rFonts w:ascii="Times New Roman" w:hAnsi="Times New Roman" w:cs="Times New Roman"/>
          <w:b/>
          <w:color w:val="FF0000"/>
          <w:sz w:val="24"/>
          <w:szCs w:val="24"/>
        </w:rPr>
        <w:t xml:space="preserve">(Determinar periodo tomado en cada caso). Para Paraguay me gustaría realizar el corte a partir del 2009 ya que a partir de los “encontronazos con los liberales, la cuestionada vida personal de Lugo y la adopción de una política partidaria del Mercosur y la </w:t>
      </w:r>
      <w:proofErr w:type="spellStart"/>
      <w:r w:rsidRPr="00827BDB">
        <w:rPr>
          <w:rFonts w:ascii="Times New Roman" w:hAnsi="Times New Roman" w:cs="Times New Roman"/>
          <w:b/>
          <w:color w:val="FF0000"/>
          <w:sz w:val="24"/>
          <w:szCs w:val="24"/>
        </w:rPr>
        <w:t>Unasur</w:t>
      </w:r>
      <w:proofErr w:type="spellEnd"/>
      <w:r w:rsidRPr="00827BDB">
        <w:rPr>
          <w:rFonts w:ascii="Times New Roman" w:hAnsi="Times New Roman" w:cs="Times New Roman"/>
          <w:b/>
          <w:color w:val="FF0000"/>
          <w:sz w:val="24"/>
          <w:szCs w:val="24"/>
        </w:rPr>
        <w:t xml:space="preserve"> entendida como sujeción a los ideales chavistas, llevaron a que se lleve una campaña mediática anti-Lugo que ya desde ese entonces reclamaba su juicio político</w:t>
      </w:r>
    </w:p>
    <w:p w:rsidR="00827BDB" w:rsidRPr="00827BDB" w:rsidRDefault="00827BDB" w:rsidP="000D3DF0">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En Brasil aun no definí desde qué momento realizaré el corte temporal de análisis.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4" w:name="_Toc525145021"/>
      <w:r>
        <w:rPr>
          <w:rFonts w:ascii="Times New Roman" w:hAnsi="Times New Roman" w:cs="Times New Roman"/>
          <w:sz w:val="24"/>
          <w:szCs w:val="24"/>
        </w:rPr>
        <w:t>MARCO LEGAL</w:t>
      </w:r>
      <w:bookmarkEnd w:id="4"/>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Antes de </w:t>
      </w:r>
      <w:proofErr w:type="spellStart"/>
      <w:r>
        <w:rPr>
          <w:rFonts w:ascii="Times New Roman" w:hAnsi="Times New Roman" w:cs="Times New Roman"/>
          <w:sz w:val="24"/>
          <w:szCs w:val="24"/>
        </w:rPr>
        <w:t>reaizar</w:t>
      </w:r>
      <w:proofErr w:type="spellEnd"/>
      <w:r>
        <w:rPr>
          <w:rFonts w:ascii="Times New Roman" w:hAnsi="Times New Roman" w:cs="Times New Roman"/>
          <w:sz w:val="24"/>
          <w:szCs w:val="24"/>
        </w:rPr>
        <w:t xml:space="preserve"> cualquier tipo de análisis es necesario plantear que la figura de juicio político se encuentra establecida en el </w:t>
      </w:r>
      <w:proofErr w:type="spellStart"/>
      <w:r w:rsidR="008062AB">
        <w:rPr>
          <w:rFonts w:ascii="Times New Roman" w:hAnsi="Times New Roman" w:cs="Times New Roman"/>
          <w:sz w:val="24"/>
          <w:szCs w:val="24"/>
        </w:rPr>
        <w:t>el</w:t>
      </w:r>
      <w:proofErr w:type="spellEnd"/>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cual </w:t>
      </w:r>
      <w:r w:rsidR="008062AB">
        <w:rPr>
          <w:rFonts w:ascii="Times New Roman" w:hAnsi="Times New Roman" w:cs="Times New Roman"/>
          <w:sz w:val="24"/>
          <w:szCs w:val="24"/>
        </w:rPr>
        <w:t xml:space="preserve"> </w:t>
      </w:r>
      <w:r>
        <w:rPr>
          <w:rFonts w:ascii="Times New Roman" w:hAnsi="Times New Roman" w:cs="Times New Roman"/>
          <w:sz w:val="24"/>
          <w:szCs w:val="24"/>
        </w:rPr>
        <w:t>establece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Justicia, el Fiscal General del Estado, el Defensor del </w:t>
      </w:r>
      <w:r w:rsidR="008062AB" w:rsidRPr="008062AB">
        <w:rPr>
          <w:rFonts w:ascii="Times New Roman" w:hAnsi="Times New Roman" w:cs="Times New Roman"/>
          <w:sz w:val="24"/>
          <w:szCs w:val="24"/>
        </w:rPr>
        <w:lastRenderedPageBreak/>
        <w:t>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HISTORICOS EN AMBOS PAISES</w:t>
      </w:r>
    </w:p>
    <w:p w:rsidR="008C5E95" w:rsidRDefault="008C5E95" w:rsidP="0041650D">
      <w:pPr>
        <w:spacing w:line="360" w:lineRule="auto"/>
        <w:jc w:val="both"/>
        <w:rPr>
          <w:rFonts w:ascii="Times New Roman" w:hAnsi="Times New Roman" w:cs="Times New Roman"/>
          <w:color w:val="FF0000"/>
          <w:sz w:val="24"/>
          <w:szCs w:val="24"/>
        </w:rPr>
      </w:pPr>
      <w:r w:rsidRPr="008C5E95">
        <w:rPr>
          <w:rFonts w:ascii="Times New Roman" w:hAnsi="Times New Roman" w:cs="Times New Roman"/>
          <w:color w:val="FF0000"/>
          <w:sz w:val="24"/>
          <w:szCs w:val="24"/>
        </w:rPr>
        <w:t>“El intento de revocación del mandato presidencial mediante esta modalidad, no es un caso aislado en la historia reciente del estado guaraní. Por el contrario, en el año 1999 el Presidente Raúl Cubas Grau fue acusado de corrupción por el Congreso y antes de iniciarse el juicio, solicitó asilo político a Brasil y huyó del p</w:t>
      </w:r>
      <w:r w:rsidR="006F1BAE">
        <w:rPr>
          <w:rFonts w:ascii="Times New Roman" w:hAnsi="Times New Roman" w:cs="Times New Roman"/>
          <w:color w:val="FF0000"/>
          <w:sz w:val="24"/>
          <w:szCs w:val="24"/>
        </w:rPr>
        <w:t>aís. En el año 2003 el Presiden</w:t>
      </w:r>
      <w:r w:rsidRPr="008C5E95">
        <w:rPr>
          <w:rFonts w:ascii="Times New Roman" w:hAnsi="Times New Roman" w:cs="Times New Roman"/>
          <w:color w:val="FF0000"/>
          <w:sz w:val="24"/>
          <w:szCs w:val="24"/>
        </w:rPr>
        <w:t>te Luis Gonzales Machi, sucesor de Cubas, también debió afrontar la posibilidad de ser removido por medio de un juicio político, aunque esta vez no se logró remover al Presi-dente. De los 30 votos necesarios para declararlo culpable, sólo se consiguieron 25, razón por lo cual continuó en su cargo”</w:t>
      </w:r>
      <w:r>
        <w:rPr>
          <w:rFonts w:ascii="Times New Roman" w:hAnsi="Times New Roman" w:cs="Times New Roman"/>
          <w:color w:val="FF0000"/>
          <w:sz w:val="24"/>
          <w:szCs w:val="24"/>
        </w:rPr>
        <w:t xml:space="preserve"> (</w:t>
      </w:r>
      <w:r w:rsidR="00C12B63">
        <w:rPr>
          <w:rFonts w:ascii="Times New Roman" w:hAnsi="Times New Roman" w:cs="Times New Roman"/>
          <w:color w:val="FF0000"/>
          <w:sz w:val="24"/>
          <w:szCs w:val="24"/>
        </w:rPr>
        <w:t>Extraído</w:t>
      </w:r>
      <w:r>
        <w:rPr>
          <w:rFonts w:ascii="Times New Roman" w:hAnsi="Times New Roman" w:cs="Times New Roman"/>
          <w:color w:val="FF0000"/>
          <w:sz w:val="24"/>
          <w:szCs w:val="24"/>
        </w:rPr>
        <w:t xml:space="preserve"> de </w:t>
      </w:r>
      <w:r w:rsidR="006F1BAE">
        <w:rPr>
          <w:rFonts w:ascii="Times New Roman" w:hAnsi="Times New Roman" w:cs="Times New Roman"/>
          <w:color w:val="FF0000"/>
          <w:sz w:val="24"/>
          <w:szCs w:val="24"/>
        </w:rPr>
        <w:t xml:space="preserve">la tesis </w:t>
      </w:r>
      <w:proofErr w:type="spellStart"/>
      <w:r>
        <w:rPr>
          <w:rFonts w:ascii="Times New Roman" w:hAnsi="Times New Roman" w:cs="Times New Roman"/>
          <w:color w:val="FF0000"/>
          <w:sz w:val="24"/>
          <w:szCs w:val="24"/>
        </w:rPr>
        <w:t>Barolin</w:t>
      </w:r>
      <w:proofErr w:type="spellEnd"/>
      <w:r>
        <w:rPr>
          <w:rFonts w:ascii="Times New Roman" w:hAnsi="Times New Roman" w:cs="Times New Roman"/>
          <w:color w:val="FF0000"/>
          <w:sz w:val="24"/>
          <w:szCs w:val="24"/>
        </w:rPr>
        <w:t xml:space="preserve"> Ezequiel) </w:t>
      </w:r>
    </w:p>
    <w:p w:rsidR="00794D05"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(Extraído del texto “</w:t>
      </w:r>
      <w:r w:rsidRPr="00794D05">
        <w:rPr>
          <w:rFonts w:ascii="Times New Roman" w:hAnsi="Times New Roman" w:cs="Times New Roman"/>
          <w:color w:val="FF0000"/>
          <w:sz w:val="24"/>
          <w:szCs w:val="24"/>
        </w:rPr>
        <w:t>el «</w:t>
      </w:r>
      <w:proofErr w:type="spellStart"/>
      <w:r w:rsidRPr="00794D05">
        <w:rPr>
          <w:rFonts w:ascii="Times New Roman" w:hAnsi="Times New Roman" w:cs="Times New Roman"/>
          <w:color w:val="FF0000"/>
          <w:sz w:val="24"/>
          <w:szCs w:val="24"/>
        </w:rPr>
        <w:t>impeachment</w:t>
      </w:r>
      <w:proofErr w:type="spellEnd"/>
      <w:r w:rsidRPr="00794D05">
        <w:rPr>
          <w:rFonts w:ascii="Times New Roman" w:hAnsi="Times New Roman" w:cs="Times New Roman"/>
          <w:color w:val="FF0000"/>
          <w:sz w:val="24"/>
          <w:szCs w:val="24"/>
        </w:rPr>
        <w:t>» en américa latina:</w:t>
      </w:r>
      <w:r>
        <w:rPr>
          <w:rFonts w:ascii="Times New Roman" w:hAnsi="Times New Roman" w:cs="Times New Roman"/>
          <w:color w:val="FF0000"/>
          <w:sz w:val="24"/>
          <w:szCs w:val="24"/>
        </w:rPr>
        <w:t xml:space="preserve"> </w:t>
      </w:r>
      <w:r w:rsidRPr="00794D05">
        <w:rPr>
          <w:rFonts w:ascii="Times New Roman" w:hAnsi="Times New Roman" w:cs="Times New Roman"/>
          <w:color w:val="FF0000"/>
          <w:sz w:val="24"/>
          <w:szCs w:val="24"/>
        </w:rPr>
        <w:t xml:space="preserve">argentina, </w:t>
      </w:r>
      <w:proofErr w:type="spellStart"/>
      <w:r w:rsidRPr="00794D05">
        <w:rPr>
          <w:rFonts w:ascii="Times New Roman" w:hAnsi="Times New Roman" w:cs="Times New Roman"/>
          <w:color w:val="FF0000"/>
          <w:sz w:val="24"/>
          <w:szCs w:val="24"/>
        </w:rPr>
        <w:t>brasil</w:t>
      </w:r>
      <w:proofErr w:type="spellEnd"/>
      <w:r w:rsidRPr="00794D05">
        <w:rPr>
          <w:rFonts w:ascii="Times New Roman" w:hAnsi="Times New Roman" w:cs="Times New Roman"/>
          <w:color w:val="FF0000"/>
          <w:sz w:val="24"/>
          <w:szCs w:val="24"/>
        </w:rPr>
        <w:t xml:space="preserve"> y </w:t>
      </w:r>
      <w:proofErr w:type="spellStart"/>
      <w:r>
        <w:rPr>
          <w:rFonts w:ascii="Times New Roman" w:hAnsi="Times New Roman" w:cs="Times New Roman"/>
          <w:color w:val="FF0000"/>
          <w:sz w:val="24"/>
          <w:szCs w:val="24"/>
        </w:rPr>
        <w:t>venezuela</w:t>
      </w:r>
      <w:proofErr w:type="spellEnd"/>
      <w:r>
        <w:rPr>
          <w:rFonts w:ascii="Times New Roman" w:hAnsi="Times New Roman" w:cs="Times New Roman"/>
          <w:color w:val="FF0000"/>
          <w:sz w:val="24"/>
          <w:szCs w:val="24"/>
        </w:rPr>
        <w:t xml:space="preserve"> por Mario D. </w:t>
      </w:r>
      <w:proofErr w:type="spellStart"/>
      <w:r>
        <w:rPr>
          <w:rFonts w:ascii="Times New Roman" w:hAnsi="Times New Roman" w:cs="Times New Roman"/>
          <w:color w:val="FF0000"/>
          <w:sz w:val="24"/>
          <w:szCs w:val="24"/>
        </w:rPr>
        <w:t>S</w:t>
      </w:r>
      <w:r w:rsidRPr="00794D05">
        <w:rPr>
          <w:rFonts w:ascii="Times New Roman" w:hAnsi="Times New Roman" w:cs="Times New Roman"/>
          <w:color w:val="FF0000"/>
          <w:sz w:val="24"/>
          <w:szCs w:val="24"/>
        </w:rPr>
        <w:t>errafero</w:t>
      </w:r>
      <w:proofErr w:type="spellEnd"/>
      <w:r>
        <w:rPr>
          <w:rFonts w:ascii="Times New Roman" w:hAnsi="Times New Roman" w:cs="Times New Roman"/>
          <w:color w:val="FF0000"/>
          <w:sz w:val="24"/>
          <w:szCs w:val="24"/>
        </w:rPr>
        <w:t>)</w:t>
      </w:r>
    </w:p>
    <w:p w:rsidR="0041650D" w:rsidRDefault="0041650D" w:rsidP="00500FC6">
      <w:pPr>
        <w:spacing w:line="360" w:lineRule="auto"/>
        <w:rPr>
          <w:rFonts w:ascii="Times New Roman" w:hAnsi="Times New Roman" w:cs="Times New Roman"/>
          <w:sz w:val="24"/>
          <w:szCs w:val="24"/>
        </w:rPr>
      </w:pPr>
    </w:p>
    <w:p w:rsidR="00794D05" w:rsidRDefault="00794D05"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AMBOS PAÍSES </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gobernador por solo cinco hombres.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Desde 1870 a 1954 que comienza el gobierno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460DB0">
        <w:rPr>
          <w:rFonts w:ascii="Times New Roman" w:hAnsi="Times New Roman" w:cs="Times New Roman"/>
          <w:sz w:val="24"/>
          <w:szCs w:val="24"/>
        </w:rPr>
        <w:t xml:space="preserve"> primero y su derrumbe y la transición después.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p>
    <w:p w:rsid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7F1E14" w:rsidRDefault="007F1E14" w:rsidP="00482A90">
      <w:pPr>
        <w:spacing w:line="360" w:lineRule="auto"/>
        <w:jc w:val="both"/>
        <w:rPr>
          <w:rFonts w:ascii="Times New Roman" w:hAnsi="Times New Roman" w:cs="Times New Roman"/>
          <w:color w:val="1F3864" w:themeColor="accent5" w:themeShade="8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xml:space="preserv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w:t>
      </w:r>
      <w:proofErr w:type="spellStart"/>
      <w:r>
        <w:rPr>
          <w:rFonts w:ascii="Times New Roman" w:hAnsi="Times New Roman" w:cs="Times New Roman"/>
          <w:color w:val="1F3864" w:themeColor="accent5" w:themeShade="80"/>
          <w:sz w:val="24"/>
          <w:szCs w:val="24"/>
        </w:rPr>
        <w:t>Larsen</w:t>
      </w:r>
      <w:proofErr w:type="spellEnd"/>
      <w:r>
        <w:rPr>
          <w:rFonts w:ascii="Times New Roman" w:hAnsi="Times New Roman" w:cs="Times New Roman"/>
          <w:color w:val="1F3864" w:themeColor="accent5" w:themeShade="80"/>
          <w:sz w:val="24"/>
          <w:szCs w:val="24"/>
        </w:rPr>
        <w:t xml:space="preserve">: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w:t>
      </w:r>
      <w:r w:rsidR="00854EC0">
        <w:rPr>
          <w:rFonts w:ascii="Times New Roman" w:hAnsi="Times New Roman" w:cs="Times New Roman"/>
          <w:color w:val="1F3864" w:themeColor="accent5" w:themeShade="80"/>
          <w:sz w:val="24"/>
          <w:szCs w:val="24"/>
        </w:rPr>
        <w:lastRenderedPageBreak/>
        <w:t xml:space="preserve">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5" w:name="_Toc525145022"/>
      <w:r w:rsidRPr="001A4DCA">
        <w:rPr>
          <w:rFonts w:ascii="Times New Roman" w:hAnsi="Times New Roman" w:cs="Times New Roman"/>
          <w:sz w:val="24"/>
          <w:szCs w:val="24"/>
        </w:rPr>
        <w:lastRenderedPageBreak/>
        <w:t>REFERENCIAS BIBLIOGRAFICAS:</w:t>
      </w:r>
      <w:bookmarkEnd w:id="5"/>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bookmarkStart w:id="6" w:name="_GoBack"/>
      <w:bookmarkEnd w:id="6"/>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Carlos y </w:t>
      </w: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López, Magdalena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0"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McCombs</w:t>
      </w:r>
      <w:proofErr w:type="spellEnd"/>
      <w:r w:rsidRPr="001A4DCA">
        <w:rPr>
          <w:rFonts w:ascii="Times New Roman" w:hAnsi="Times New Roman" w:cs="Times New Roman"/>
          <w:sz w:val="24"/>
          <w:szCs w:val="24"/>
        </w:rPr>
        <w:t xml:space="preserve">,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1">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2"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w:t>
      </w:r>
      <w:r w:rsidRPr="001A4DCA">
        <w:rPr>
          <w:rFonts w:ascii="Times New Roman" w:hAnsi="Times New Roman" w:cs="Times New Roman"/>
          <w:sz w:val="24"/>
          <w:szCs w:val="24"/>
        </w:rPr>
        <w:lastRenderedPageBreak/>
        <w:t xml:space="preserve">y el Caribe, Universidad de Buenos Aires Argentina. Disponible en: </w:t>
      </w:r>
      <w:hyperlink r:id="rId13">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4"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1A4DCA" w:rsidRDefault="001A4DCA" w:rsidP="00482A90">
      <w:pPr>
        <w:spacing w:line="360" w:lineRule="auto"/>
        <w:jc w:val="both"/>
        <w:rPr>
          <w:rFonts w:ascii="Times New Roman" w:hAnsi="Times New Roman" w:cs="Times New Roman"/>
          <w:sz w:val="24"/>
          <w:szCs w:val="24"/>
        </w:rPr>
      </w:pPr>
    </w:p>
    <w:sectPr w:rsidR="001A4DCA" w:rsidSect="00F91BB1">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F58" w:rsidRDefault="00005F58" w:rsidP="00B72BB0">
      <w:pPr>
        <w:spacing w:after="0" w:line="240" w:lineRule="auto"/>
      </w:pPr>
      <w:r>
        <w:separator/>
      </w:r>
    </w:p>
  </w:endnote>
  <w:endnote w:type="continuationSeparator" w:id="0">
    <w:p w:rsidR="00005F58" w:rsidRDefault="00005F58"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441DCA" w:rsidRPr="00441DCA">
          <w:rPr>
            <w:noProof/>
            <w:lang w:val="es-ES"/>
          </w:rPr>
          <w:t>23</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F58" w:rsidRDefault="00005F58" w:rsidP="00B72BB0">
      <w:pPr>
        <w:spacing w:after="0" w:line="240" w:lineRule="auto"/>
      </w:pPr>
      <w:r>
        <w:separator/>
      </w:r>
    </w:p>
  </w:footnote>
  <w:footnote w:type="continuationSeparator" w:id="0">
    <w:p w:rsidR="00005F58" w:rsidRDefault="00005F58" w:rsidP="00B7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5F58"/>
    <w:rsid w:val="0003402D"/>
    <w:rsid w:val="00073373"/>
    <w:rsid w:val="000A2693"/>
    <w:rsid w:val="000A647C"/>
    <w:rsid w:val="000B0B3E"/>
    <w:rsid w:val="000D3DF0"/>
    <w:rsid w:val="00103876"/>
    <w:rsid w:val="00115F06"/>
    <w:rsid w:val="00117C4F"/>
    <w:rsid w:val="001203AA"/>
    <w:rsid w:val="00137BA3"/>
    <w:rsid w:val="001516E1"/>
    <w:rsid w:val="00163B55"/>
    <w:rsid w:val="001A0A7F"/>
    <w:rsid w:val="001A4DCA"/>
    <w:rsid w:val="001D6553"/>
    <w:rsid w:val="001E3FB7"/>
    <w:rsid w:val="00225877"/>
    <w:rsid w:val="00225A53"/>
    <w:rsid w:val="00233B6E"/>
    <w:rsid w:val="00240A40"/>
    <w:rsid w:val="00250EDF"/>
    <w:rsid w:val="00262CF0"/>
    <w:rsid w:val="00266345"/>
    <w:rsid w:val="002709D9"/>
    <w:rsid w:val="002A4A76"/>
    <w:rsid w:val="002B5203"/>
    <w:rsid w:val="002B641D"/>
    <w:rsid w:val="002C1226"/>
    <w:rsid w:val="002D2C4D"/>
    <w:rsid w:val="00311BF3"/>
    <w:rsid w:val="00326104"/>
    <w:rsid w:val="00337F72"/>
    <w:rsid w:val="003C0FE0"/>
    <w:rsid w:val="003D20FF"/>
    <w:rsid w:val="003E1FAE"/>
    <w:rsid w:val="004064DC"/>
    <w:rsid w:val="00406FA2"/>
    <w:rsid w:val="0041650D"/>
    <w:rsid w:val="00441DCA"/>
    <w:rsid w:val="00460DB0"/>
    <w:rsid w:val="00482A90"/>
    <w:rsid w:val="004E28BE"/>
    <w:rsid w:val="00500FC6"/>
    <w:rsid w:val="00512CD3"/>
    <w:rsid w:val="00524A24"/>
    <w:rsid w:val="00544DA3"/>
    <w:rsid w:val="005728E7"/>
    <w:rsid w:val="005D42F7"/>
    <w:rsid w:val="005E7081"/>
    <w:rsid w:val="005F6AE6"/>
    <w:rsid w:val="00600545"/>
    <w:rsid w:val="006074D1"/>
    <w:rsid w:val="00616BF1"/>
    <w:rsid w:val="0064190F"/>
    <w:rsid w:val="00644AF1"/>
    <w:rsid w:val="00655D3D"/>
    <w:rsid w:val="006615BC"/>
    <w:rsid w:val="006620E0"/>
    <w:rsid w:val="00677FAC"/>
    <w:rsid w:val="006C0026"/>
    <w:rsid w:val="006C1322"/>
    <w:rsid w:val="006F1714"/>
    <w:rsid w:val="006F1BAE"/>
    <w:rsid w:val="00710D0C"/>
    <w:rsid w:val="00720E0A"/>
    <w:rsid w:val="00735E14"/>
    <w:rsid w:val="007556BC"/>
    <w:rsid w:val="007568B0"/>
    <w:rsid w:val="00760D5A"/>
    <w:rsid w:val="00776369"/>
    <w:rsid w:val="00794511"/>
    <w:rsid w:val="00794D05"/>
    <w:rsid w:val="007C5E49"/>
    <w:rsid w:val="007F1E14"/>
    <w:rsid w:val="0080084D"/>
    <w:rsid w:val="008062AB"/>
    <w:rsid w:val="00824721"/>
    <w:rsid w:val="00827BDB"/>
    <w:rsid w:val="00854EC0"/>
    <w:rsid w:val="00872DB4"/>
    <w:rsid w:val="00883197"/>
    <w:rsid w:val="00897614"/>
    <w:rsid w:val="008B7E2F"/>
    <w:rsid w:val="008C5E95"/>
    <w:rsid w:val="008D158C"/>
    <w:rsid w:val="00935509"/>
    <w:rsid w:val="009640FC"/>
    <w:rsid w:val="00986AFD"/>
    <w:rsid w:val="00987B01"/>
    <w:rsid w:val="009917FF"/>
    <w:rsid w:val="009A1C40"/>
    <w:rsid w:val="009A256F"/>
    <w:rsid w:val="009B171B"/>
    <w:rsid w:val="009B17A4"/>
    <w:rsid w:val="009C04E5"/>
    <w:rsid w:val="009D7268"/>
    <w:rsid w:val="009F7C78"/>
    <w:rsid w:val="00A070AB"/>
    <w:rsid w:val="00A0714E"/>
    <w:rsid w:val="00A35912"/>
    <w:rsid w:val="00A449A1"/>
    <w:rsid w:val="00A52272"/>
    <w:rsid w:val="00A56F81"/>
    <w:rsid w:val="00A869B7"/>
    <w:rsid w:val="00A92D59"/>
    <w:rsid w:val="00AC6623"/>
    <w:rsid w:val="00AF2627"/>
    <w:rsid w:val="00B06599"/>
    <w:rsid w:val="00B11C79"/>
    <w:rsid w:val="00B54076"/>
    <w:rsid w:val="00B71F40"/>
    <w:rsid w:val="00B72BB0"/>
    <w:rsid w:val="00B95239"/>
    <w:rsid w:val="00BA697E"/>
    <w:rsid w:val="00BB1B6C"/>
    <w:rsid w:val="00BC14C1"/>
    <w:rsid w:val="00BC43BD"/>
    <w:rsid w:val="00BD5891"/>
    <w:rsid w:val="00BF7D73"/>
    <w:rsid w:val="00C0188F"/>
    <w:rsid w:val="00C01A93"/>
    <w:rsid w:val="00C12B63"/>
    <w:rsid w:val="00C31B8F"/>
    <w:rsid w:val="00C34C41"/>
    <w:rsid w:val="00C4275B"/>
    <w:rsid w:val="00C66EB6"/>
    <w:rsid w:val="00C72B89"/>
    <w:rsid w:val="00CC27C3"/>
    <w:rsid w:val="00CD3A93"/>
    <w:rsid w:val="00D112D4"/>
    <w:rsid w:val="00D11B45"/>
    <w:rsid w:val="00D13E5E"/>
    <w:rsid w:val="00D618F4"/>
    <w:rsid w:val="00D6270C"/>
    <w:rsid w:val="00D91989"/>
    <w:rsid w:val="00D94510"/>
    <w:rsid w:val="00DB3ED3"/>
    <w:rsid w:val="00DB53C3"/>
    <w:rsid w:val="00DC5785"/>
    <w:rsid w:val="00DD3C81"/>
    <w:rsid w:val="00E232C6"/>
    <w:rsid w:val="00E24DFC"/>
    <w:rsid w:val="00E5042B"/>
    <w:rsid w:val="00E5776F"/>
    <w:rsid w:val="00E62AA5"/>
    <w:rsid w:val="00E80AC1"/>
    <w:rsid w:val="00E84CA3"/>
    <w:rsid w:val="00E954E7"/>
    <w:rsid w:val="00E95615"/>
    <w:rsid w:val="00EB770F"/>
    <w:rsid w:val="00EC06B7"/>
    <w:rsid w:val="00EC0AD5"/>
    <w:rsid w:val="00EF4460"/>
    <w:rsid w:val="00EF66AD"/>
    <w:rsid w:val="00F05E8E"/>
    <w:rsid w:val="00F11AFC"/>
    <w:rsid w:val="00F161D4"/>
    <w:rsid w:val="00F17D27"/>
    <w:rsid w:val="00F43A28"/>
    <w:rsid w:val="00F45B09"/>
    <w:rsid w:val="00F45FB7"/>
    <w:rsid w:val="00F5069B"/>
    <w:rsid w:val="00F623D0"/>
    <w:rsid w:val="00F67988"/>
    <w:rsid w:val="00F75445"/>
    <w:rsid w:val="00F91BB1"/>
    <w:rsid w:val="00F95A0D"/>
    <w:rsid w:val="00FB2921"/>
    <w:rsid w:val="00FB7E3F"/>
    <w:rsid w:val="00FD08FF"/>
    <w:rsid w:val="00FE10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grupoparaguay.org/revis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dalyc.org/html/308/308049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ofdemocracyenespanol.cl/pdf/odonnel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merico.usal.es/iberoame/sites/default/files/gps/DocumentoTrabajo%2325_LuccaPinillos_final.doc.pdf" TargetMode="External"/><Relationship Id="rId4" Type="http://schemas.openxmlformats.org/officeDocument/2006/relationships/settings" Target="settings.xml"/><Relationship Id="rId9" Type="http://schemas.openxmlformats.org/officeDocument/2006/relationships/hyperlink" Target="http://www.elmundo.com/portal/opinion/columnistas/mbytetepe_poncho_juruicha.php#.W607s3tKjIU" TargetMode="External"/><Relationship Id="rId14" Type="http://schemas.openxmlformats.org/officeDocument/2006/relationships/hyperlink" Target="http://www.revistachasqui.org/index.php/chasqui/article/view/32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315EA-A095-4E8D-BD60-F30B449D8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25</Pages>
  <Words>7416</Words>
  <Characters>40792</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45</cp:revision>
  <dcterms:created xsi:type="dcterms:W3CDTF">2018-05-08T14:32:00Z</dcterms:created>
  <dcterms:modified xsi:type="dcterms:W3CDTF">2018-09-27T20:31:00Z</dcterms:modified>
</cp:coreProperties>
</file>