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sidRPr="002A4B41">
          <w:rPr>
            <w:webHidden/>
          </w:rPr>
          <w:fldChar w:fldCharType="begin"/>
        </w:r>
        <w:r w:rsidR="001A4DCA" w:rsidRPr="002A4B41">
          <w:rPr>
            <w:webHidden/>
          </w:rPr>
          <w:instrText xml:space="preserve"> PAGEREF _Toc525145017 \h </w:instrText>
        </w:r>
        <w:r w:rsidR="001A4DCA" w:rsidRPr="002A4B41">
          <w:rPr>
            <w:webHidden/>
          </w:rPr>
        </w:r>
        <w:r w:rsidR="001A4DCA" w:rsidRPr="002A4B41">
          <w:rPr>
            <w:webHidden/>
          </w:rPr>
          <w:fldChar w:fldCharType="separate"/>
        </w:r>
        <w:r w:rsidR="001A4DCA" w:rsidRPr="002A4B41">
          <w:rPr>
            <w:webHidden/>
          </w:rPr>
          <w:t>1</w:t>
        </w:r>
        <w:r w:rsidR="001A4DCA" w:rsidRPr="002A4B41">
          <w:rPr>
            <w:webHidden/>
          </w:rPr>
          <w:fldChar w:fldCharType="end"/>
        </w:r>
      </w:hyperlink>
    </w:p>
    <w:p w:rsidR="001A4DCA" w:rsidRDefault="00E80D68"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E80D68">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E80D68"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E80D68">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E80D68"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qué </w:t>
      </w:r>
      <w:proofErr w:type="gramStart"/>
      <w:r w:rsidRPr="00F613D9">
        <w:rPr>
          <w:rFonts w:ascii="Times New Roman" w:eastAsia="Times New Roman" w:hAnsi="Times New Roman" w:cs="Times New Roman"/>
          <w:sz w:val="24"/>
          <w:szCs w:val="24"/>
        </w:rPr>
        <w:t>tanta experiencia tengan</w:t>
      </w:r>
      <w:proofErr w:type="gramEnd"/>
      <w:r w:rsidRPr="00F613D9">
        <w:rPr>
          <w:rFonts w:ascii="Times New Roman" w:eastAsia="Times New Roman" w:hAnsi="Times New Roman" w:cs="Times New Roman"/>
          <w:sz w:val="24"/>
          <w:szCs w:val="24"/>
        </w:rPr>
        <w:t xml:space="preserve">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seleccionados.</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w:t>
      </w:r>
      <w:proofErr w:type="gramStart"/>
      <w:r w:rsidR="00484D33">
        <w:rPr>
          <w:rFonts w:ascii="Times New Roman" w:eastAsia="Times New Roman" w:hAnsi="Times New Roman" w:cs="Times New Roman"/>
          <w:sz w:val="24"/>
          <w:szCs w:val="24"/>
        </w:rPr>
        <w:t>ex presidente</w:t>
      </w:r>
      <w:proofErr w:type="gramEnd"/>
      <w:r w:rsidR="00484D33">
        <w:rPr>
          <w:rFonts w:ascii="Times New Roman" w:eastAsia="Times New Roman" w:hAnsi="Times New Roman" w:cs="Times New Roman"/>
          <w:sz w:val="24"/>
          <w:szCs w:val="24"/>
        </w:rPr>
        <w:t xml:space="preserve">, el 22 de junio de 2012. </w:t>
      </w:r>
      <w:r w:rsidR="001D47BF">
        <w:rPr>
          <w:rFonts w:ascii="Times New Roman" w:eastAsia="Times New Roman" w:hAnsi="Times New Roman" w:cs="Times New Roman"/>
          <w:sz w:val="24"/>
          <w:szCs w:val="24"/>
        </w:rPr>
        <w:t xml:space="preserve"> </w:t>
      </w:r>
    </w:p>
    <w:p w:rsid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obstante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BF3D77"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w:t>
      </w:r>
      <w:r w:rsidR="00BF3D77">
        <w:rPr>
          <w:rFonts w:ascii="Times New Roman" w:eastAsia="Times New Roman" w:hAnsi="Times New Roman" w:cs="Times New Roman"/>
          <w:sz w:val="24"/>
          <w:szCs w:val="24"/>
        </w:rPr>
        <w:t xml:space="preserve">se propone como un aporte que podrá servir como insumo para el análisis de casos similares que ya se produjeron e incluso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 xml:space="preserve">Luego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xml:space="preserve">, 1994: </w:t>
      </w:r>
      <w:proofErr w:type="spellStart"/>
      <w:r w:rsidRPr="007A259A">
        <w:rPr>
          <w:rFonts w:ascii="Times New Roman" w:eastAsia="Times New Roman" w:hAnsi="Times New Roman" w:cs="Times New Roman"/>
          <w:sz w:val="24"/>
          <w:szCs w:val="24"/>
        </w:rPr>
        <w:t>xvii</w:t>
      </w:r>
      <w:proofErr w:type="spellEnd"/>
      <w:r w:rsidRPr="007A259A">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Pr="005007D8" w:rsidRDefault="00D94510" w:rsidP="00326104">
      <w:pPr>
        <w:spacing w:line="360" w:lineRule="auto"/>
        <w:jc w:val="both"/>
        <w:rPr>
          <w:rFonts w:ascii="Times New Roman" w:eastAsia="Times New Roman" w:hAnsi="Times New Roman" w:cs="Times New Roman"/>
          <w:color w:val="70AD47" w:themeColor="accent6"/>
          <w:sz w:val="24"/>
          <w:szCs w:val="24"/>
        </w:rPr>
      </w:pPr>
      <w:r w:rsidRPr="005007D8">
        <w:rPr>
          <w:rFonts w:ascii="Times New Roman" w:eastAsia="Times New Roman" w:hAnsi="Times New Roman" w:cs="Times New Roman"/>
          <w:color w:val="70AD47" w:themeColor="accent6"/>
          <w:sz w:val="24"/>
          <w:szCs w:val="24"/>
        </w:rPr>
        <w:lastRenderedPageBreak/>
        <w:t xml:space="preserve">No obstante, se considera fundamental tener en consideración el concepto de </w:t>
      </w:r>
      <w:r w:rsidR="00337F72" w:rsidRPr="005007D8">
        <w:rPr>
          <w:rFonts w:ascii="Times New Roman" w:eastAsia="Times New Roman" w:hAnsi="Times New Roman" w:cs="Times New Roman"/>
          <w:b/>
          <w:color w:val="70AD47" w:themeColor="accent6"/>
          <w:sz w:val="24"/>
          <w:szCs w:val="24"/>
        </w:rPr>
        <w:t>“Golpe parlamentario”</w:t>
      </w:r>
      <w:r w:rsidRPr="005007D8">
        <w:rPr>
          <w:rFonts w:ascii="Times New Roman" w:eastAsia="Times New Roman" w:hAnsi="Times New Roman" w:cs="Times New Roman"/>
          <w:color w:val="70AD47" w:themeColor="accent6"/>
          <w:sz w:val="24"/>
          <w:szCs w:val="24"/>
        </w:rPr>
        <w:t xml:space="preserve"> que refiere a</w:t>
      </w:r>
      <w:r w:rsidR="00AC6623" w:rsidRPr="005007D8">
        <w:rPr>
          <w:rFonts w:ascii="Times New Roman" w:eastAsia="Times New Roman" w:hAnsi="Times New Roman" w:cs="Times New Roman"/>
          <w:color w:val="70AD47" w:themeColor="accent6"/>
          <w:sz w:val="24"/>
          <w:szCs w:val="24"/>
        </w:rPr>
        <w:t xml:space="preserve"> una sustitución fraudulenta de gobernantes orquestada y ejecutada por líderes parlamentarios.</w:t>
      </w:r>
      <w:r w:rsidRPr="005007D8">
        <w:rPr>
          <w:rFonts w:ascii="Times New Roman" w:eastAsia="Times New Roman" w:hAnsi="Times New Roman" w:cs="Times New Roman"/>
          <w:color w:val="70AD47" w:themeColor="accent6"/>
          <w:sz w:val="24"/>
          <w:szCs w:val="24"/>
        </w:rPr>
        <w:t xml:space="preserve"> La misma i</w:t>
      </w:r>
      <w:r w:rsidR="00AC6623" w:rsidRPr="005007D8">
        <w:rPr>
          <w:rFonts w:ascii="Times New Roman" w:eastAsia="Times New Roman" w:hAnsi="Times New Roman" w:cs="Times New Roman"/>
          <w:color w:val="70AD47" w:themeColor="accent6"/>
          <w:sz w:val="24"/>
          <w:szCs w:val="24"/>
        </w:rPr>
        <w:t>ndica una modalidad de ruptura de gobierno.</w:t>
      </w:r>
      <w:r w:rsidR="00E12835" w:rsidRPr="005007D8">
        <w:rPr>
          <w:rFonts w:ascii="Times New Roman" w:eastAsia="Times New Roman" w:hAnsi="Times New Roman" w:cs="Times New Roman"/>
          <w:color w:val="70AD47" w:themeColor="accent6"/>
          <w:sz w:val="24"/>
          <w:szCs w:val="24"/>
        </w:rPr>
        <w:t xml:space="preserve"> (CITAR)</w:t>
      </w:r>
      <w:r w:rsidR="00AC6623" w:rsidRPr="005007D8">
        <w:rPr>
          <w:rFonts w:ascii="Times New Roman" w:eastAsia="Times New Roman" w:hAnsi="Times New Roman" w:cs="Times New Roman"/>
          <w:color w:val="70AD47" w:themeColor="accent6"/>
          <w:sz w:val="24"/>
          <w:szCs w:val="24"/>
        </w:rPr>
        <w:t xml:space="preserve"> </w:t>
      </w:r>
    </w:p>
    <w:p w:rsidR="00D94510" w:rsidRPr="005007D8" w:rsidRDefault="00D94510" w:rsidP="00326104">
      <w:pPr>
        <w:spacing w:line="360" w:lineRule="auto"/>
        <w:jc w:val="both"/>
        <w:rPr>
          <w:rFonts w:ascii="Times New Roman" w:hAnsi="Times New Roman" w:cs="Times New Roman"/>
          <w:color w:val="70AD47" w:themeColor="accent6"/>
          <w:sz w:val="24"/>
          <w:szCs w:val="24"/>
        </w:rPr>
      </w:pPr>
      <w:r w:rsidRPr="005007D8">
        <w:rPr>
          <w:rFonts w:ascii="Times New Roman" w:hAnsi="Times New Roman" w:cs="Times New Roman"/>
          <w:color w:val="70AD47" w:themeColor="accent6"/>
          <w:sz w:val="24"/>
          <w:szCs w:val="24"/>
        </w:rPr>
        <w:t xml:space="preserve">Esta definición entiende que no sólo las amenazas de intervenciones golpistas que pueden ser orquestadas por las fuerzas armadas </w:t>
      </w:r>
      <w:r w:rsidR="00E24DFC" w:rsidRPr="005007D8">
        <w:rPr>
          <w:rFonts w:ascii="Times New Roman" w:hAnsi="Times New Roman" w:cs="Times New Roman"/>
          <w:color w:val="70AD47" w:themeColor="accent6"/>
          <w:sz w:val="24"/>
          <w:szCs w:val="24"/>
        </w:rPr>
        <w:t>u otros sectores</w:t>
      </w:r>
      <w:r w:rsidR="00D159C7" w:rsidRPr="005007D8">
        <w:rPr>
          <w:rFonts w:ascii="Times New Roman" w:hAnsi="Times New Roman" w:cs="Times New Roman"/>
          <w:color w:val="70AD47" w:themeColor="accent6"/>
          <w:sz w:val="24"/>
          <w:szCs w:val="24"/>
        </w:rPr>
        <w:t>,</w:t>
      </w:r>
      <w:r w:rsidR="00E24DFC" w:rsidRPr="005007D8">
        <w:rPr>
          <w:rFonts w:ascii="Times New Roman" w:hAnsi="Times New Roman" w:cs="Times New Roman"/>
          <w:color w:val="70AD47" w:themeColor="accent6"/>
          <w:sz w:val="24"/>
          <w:szCs w:val="24"/>
        </w:rPr>
        <w:t xml:space="preserve"> </w:t>
      </w:r>
      <w:r w:rsidRPr="005007D8">
        <w:rPr>
          <w:rFonts w:ascii="Times New Roman" w:hAnsi="Times New Roman" w:cs="Times New Roman"/>
          <w:color w:val="70AD47" w:themeColor="accent6"/>
          <w:sz w:val="24"/>
          <w:szCs w:val="24"/>
        </w:rPr>
        <w:t xml:space="preserve">son las únicas que atentan contra la democracia. En realidad, </w:t>
      </w:r>
      <w:r w:rsidR="00E24DFC" w:rsidRPr="005007D8">
        <w:rPr>
          <w:rFonts w:ascii="Times New Roman" w:hAnsi="Times New Roman" w:cs="Times New Roman"/>
          <w:color w:val="70AD47" w:themeColor="accent6"/>
          <w:sz w:val="24"/>
          <w:szCs w:val="24"/>
        </w:rPr>
        <w:t xml:space="preserve">los diferentes tipos de fraudes </w:t>
      </w:r>
      <w:r w:rsidR="006C1322" w:rsidRPr="005007D8">
        <w:rPr>
          <w:rFonts w:ascii="Times New Roman" w:hAnsi="Times New Roman" w:cs="Times New Roman"/>
          <w:color w:val="70AD47" w:themeColor="accent6"/>
          <w:sz w:val="24"/>
          <w:szCs w:val="24"/>
        </w:rPr>
        <w:t xml:space="preserve">que pueden surgir en una competencia democrática, en diversas sociedades, </w:t>
      </w:r>
      <w:r w:rsidR="00C0188F" w:rsidRPr="005007D8">
        <w:rPr>
          <w:rFonts w:ascii="Times New Roman" w:hAnsi="Times New Roman" w:cs="Times New Roman"/>
          <w:color w:val="70AD47" w:themeColor="accent6"/>
          <w:sz w:val="24"/>
          <w:szCs w:val="24"/>
        </w:rPr>
        <w:t xml:space="preserve">escapan a </w:t>
      </w:r>
      <w:r w:rsidR="006F1714" w:rsidRPr="005007D8">
        <w:rPr>
          <w:rFonts w:ascii="Times New Roman" w:hAnsi="Times New Roman" w:cs="Times New Roman"/>
          <w:color w:val="70AD47" w:themeColor="accent6"/>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Pr="005007D8" w:rsidRDefault="002709D9" w:rsidP="00FE105A">
      <w:pPr>
        <w:pStyle w:val="HTMLconformatoprevio"/>
        <w:shd w:val="clear" w:color="auto" w:fill="FFFFFF"/>
        <w:spacing w:line="360" w:lineRule="auto"/>
        <w:jc w:val="both"/>
        <w:rPr>
          <w:rFonts w:ascii="Times New Roman" w:hAnsi="Times New Roman" w:cs="Times New Roman"/>
          <w:color w:val="70AD47" w:themeColor="accent6"/>
          <w:sz w:val="24"/>
          <w:szCs w:val="24"/>
          <w:shd w:val="clear" w:color="auto" w:fill="FFFFFF"/>
        </w:rPr>
      </w:pPr>
      <w:r w:rsidRPr="005007D8">
        <w:rPr>
          <w:rFonts w:ascii="Times New Roman" w:hAnsi="Times New Roman" w:cs="Times New Roman"/>
          <w:color w:val="70AD47" w:themeColor="accent6"/>
          <w:sz w:val="24"/>
          <w:szCs w:val="24"/>
          <w:shd w:val="clear" w:color="auto" w:fill="FFFFFF"/>
        </w:rPr>
        <w:t>L</w:t>
      </w:r>
      <w:r w:rsidR="00337F72" w:rsidRPr="005007D8">
        <w:rPr>
          <w:rFonts w:ascii="Times New Roman" w:hAnsi="Times New Roman" w:cs="Times New Roman"/>
          <w:color w:val="70AD47" w:themeColor="accent6"/>
          <w:sz w:val="24"/>
          <w:szCs w:val="24"/>
          <w:shd w:val="clear" w:color="auto" w:fill="FFFFFF"/>
        </w:rPr>
        <w:t xml:space="preserve">os golpes parlamentarios sólo ocurren en sistemas de democracia representativa. </w:t>
      </w:r>
      <w:r w:rsidRPr="005007D8">
        <w:rPr>
          <w:rFonts w:ascii="Times New Roman" w:hAnsi="Times New Roman" w:cs="Times New Roman"/>
          <w:color w:val="70AD47" w:themeColor="accent6"/>
          <w:sz w:val="24"/>
          <w:szCs w:val="24"/>
          <w:shd w:val="clear" w:color="auto" w:fill="FFFFFF"/>
        </w:rPr>
        <w:t>“</w:t>
      </w:r>
      <w:r w:rsidR="00337F72" w:rsidRPr="005007D8">
        <w:rPr>
          <w:rFonts w:ascii="Times New Roman" w:hAnsi="Times New Roman" w:cs="Times New Roman"/>
          <w:color w:val="70AD47" w:themeColor="accent6"/>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sidRPr="005007D8">
        <w:rPr>
          <w:rFonts w:ascii="Times New Roman" w:hAnsi="Times New Roman" w:cs="Times New Roman"/>
          <w:color w:val="70AD47" w:themeColor="accent6"/>
          <w:sz w:val="24"/>
          <w:szCs w:val="24"/>
          <w:shd w:val="clear" w:color="auto" w:fill="FFFFFF"/>
        </w:rPr>
        <w:t>” (</w:t>
      </w:r>
      <w:r w:rsidR="00D6270C" w:rsidRPr="005007D8">
        <w:rPr>
          <w:rFonts w:ascii="Times New Roman" w:hAnsi="Times New Roman" w:cs="Times New Roman"/>
          <w:color w:val="70AD47" w:themeColor="accent6"/>
          <w:sz w:val="24"/>
          <w:szCs w:val="24"/>
          <w:shd w:val="clear" w:color="auto" w:fill="FFFFFF"/>
        </w:rPr>
        <w:t xml:space="preserve">Santos, 2017: 12). </w:t>
      </w:r>
      <w:r w:rsidRPr="005007D8">
        <w:rPr>
          <w:rFonts w:ascii="Times New Roman" w:hAnsi="Times New Roman" w:cs="Times New Roman"/>
          <w:color w:val="70AD47" w:themeColor="accent6"/>
          <w:sz w:val="24"/>
          <w:szCs w:val="24"/>
          <w:shd w:val="clear" w:color="auto" w:fill="FFFFFF"/>
        </w:rPr>
        <w:t xml:space="preserve">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Pr="005007D8" w:rsidRDefault="00AC6623" w:rsidP="00FE105A">
      <w:pPr>
        <w:pStyle w:val="HTMLconformatoprevio"/>
        <w:shd w:val="clear" w:color="auto" w:fill="FFFFFF"/>
        <w:spacing w:line="360" w:lineRule="auto"/>
        <w:jc w:val="both"/>
        <w:rPr>
          <w:rFonts w:ascii="Times New Roman" w:hAnsi="Times New Roman" w:cs="Times New Roman"/>
          <w:color w:val="70AD47" w:themeColor="accent6"/>
          <w:sz w:val="24"/>
          <w:szCs w:val="24"/>
          <w:lang w:val="es-ES"/>
        </w:rPr>
      </w:pPr>
    </w:p>
    <w:p w:rsidR="00FE105A" w:rsidRPr="005007D8" w:rsidRDefault="00FE105A" w:rsidP="00FE105A">
      <w:pPr>
        <w:pStyle w:val="HTMLconformatoprevio"/>
        <w:shd w:val="clear" w:color="auto" w:fill="FFFFFF"/>
        <w:spacing w:line="360" w:lineRule="auto"/>
        <w:jc w:val="both"/>
        <w:rPr>
          <w:rFonts w:ascii="Times New Roman" w:hAnsi="Times New Roman" w:cs="Times New Roman"/>
          <w:color w:val="70AD47" w:themeColor="accent6"/>
          <w:sz w:val="24"/>
          <w:szCs w:val="24"/>
          <w:lang w:val="es-ES"/>
        </w:rPr>
      </w:pPr>
      <w:r w:rsidRPr="005007D8">
        <w:rPr>
          <w:rFonts w:ascii="Times New Roman" w:hAnsi="Times New Roman" w:cs="Times New Roman"/>
          <w:color w:val="70AD47" w:themeColor="accent6"/>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5007D8" w:rsidRDefault="001516E1" w:rsidP="001516E1">
      <w:pPr>
        <w:pStyle w:val="HTMLconformatoprevio"/>
        <w:shd w:val="clear" w:color="auto" w:fill="FFFFFF"/>
        <w:spacing w:line="360" w:lineRule="auto"/>
        <w:jc w:val="both"/>
        <w:rPr>
          <w:rFonts w:ascii="Times New Roman" w:hAnsi="Times New Roman" w:cs="Times New Roman"/>
          <w:color w:val="70AD47" w:themeColor="accent6"/>
          <w:sz w:val="24"/>
          <w:szCs w:val="24"/>
          <w:lang w:val="es-ES"/>
        </w:rPr>
      </w:pPr>
    </w:p>
    <w:p w:rsidR="00A869B7" w:rsidRPr="005007D8" w:rsidRDefault="00EF66AD" w:rsidP="001516E1">
      <w:pPr>
        <w:pStyle w:val="HTMLconformatoprevio"/>
        <w:shd w:val="clear" w:color="auto" w:fill="FFFFFF"/>
        <w:spacing w:line="360" w:lineRule="auto"/>
        <w:jc w:val="both"/>
        <w:rPr>
          <w:rFonts w:ascii="Times New Roman" w:hAnsi="Times New Roman" w:cs="Times New Roman"/>
          <w:color w:val="70AD47" w:themeColor="accent6"/>
          <w:sz w:val="24"/>
          <w:szCs w:val="24"/>
        </w:rPr>
      </w:pPr>
      <w:r w:rsidRPr="005007D8">
        <w:rPr>
          <w:rFonts w:ascii="Times New Roman" w:hAnsi="Times New Roman" w:cs="Times New Roman"/>
          <w:color w:val="70AD47" w:themeColor="accent6"/>
          <w:sz w:val="24"/>
          <w:szCs w:val="24"/>
        </w:rPr>
        <w:t>“</w:t>
      </w:r>
      <w:r w:rsidR="001516E1" w:rsidRPr="005007D8">
        <w:rPr>
          <w:rFonts w:ascii="Times New Roman" w:hAnsi="Times New Roman" w:cs="Times New Roman"/>
          <w:color w:val="70AD47" w:themeColor="accent6"/>
          <w:sz w:val="24"/>
          <w:szCs w:val="24"/>
        </w:rPr>
        <w:t>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w:t>
      </w:r>
      <w:r w:rsidR="001E3FB7" w:rsidRPr="005007D8">
        <w:rPr>
          <w:rFonts w:ascii="Times New Roman" w:hAnsi="Times New Roman" w:cs="Times New Roman"/>
          <w:color w:val="70AD47" w:themeColor="accent6"/>
          <w:sz w:val="24"/>
          <w:szCs w:val="24"/>
        </w:rPr>
        <w:t>”</w:t>
      </w:r>
      <w:r w:rsidR="001516E1" w:rsidRPr="005007D8">
        <w:rPr>
          <w:rFonts w:ascii="Times New Roman" w:hAnsi="Times New Roman" w:cs="Times New Roman"/>
          <w:color w:val="70AD47" w:themeColor="accent6"/>
          <w:sz w:val="24"/>
          <w:szCs w:val="24"/>
        </w:rPr>
        <w:t>.</w:t>
      </w:r>
      <w:r w:rsidR="00A0714E" w:rsidRPr="005007D8">
        <w:rPr>
          <w:rFonts w:ascii="Times New Roman" w:hAnsi="Times New Roman" w:cs="Times New Roman"/>
          <w:color w:val="70AD47" w:themeColor="accent6"/>
          <w:sz w:val="24"/>
          <w:szCs w:val="24"/>
        </w:rPr>
        <w:t xml:space="preserve"> (</w:t>
      </w:r>
      <w:r w:rsidR="00D6270C" w:rsidRPr="005007D8">
        <w:rPr>
          <w:rFonts w:ascii="Times New Roman" w:hAnsi="Times New Roman" w:cs="Times New Roman"/>
          <w:color w:val="70AD47" w:themeColor="accent6"/>
          <w:sz w:val="24"/>
          <w:szCs w:val="24"/>
        </w:rPr>
        <w:t>Santos, 2017: 16</w:t>
      </w:r>
      <w:r w:rsidR="00A0714E" w:rsidRPr="005007D8">
        <w:rPr>
          <w:rFonts w:ascii="Times New Roman" w:hAnsi="Times New Roman" w:cs="Times New Roman"/>
          <w:color w:val="70AD47" w:themeColor="accent6"/>
          <w:sz w:val="24"/>
          <w:szCs w:val="24"/>
        </w:rPr>
        <w:t>)</w:t>
      </w:r>
      <w:r w:rsidR="00D6270C" w:rsidRPr="005007D8">
        <w:rPr>
          <w:rFonts w:ascii="Times New Roman" w:hAnsi="Times New Roman" w:cs="Times New Roman"/>
          <w:color w:val="70AD47" w:themeColor="accent6"/>
          <w:sz w:val="24"/>
          <w:szCs w:val="24"/>
        </w:rPr>
        <w:t>.</w:t>
      </w:r>
      <w:r w:rsidR="00A0714E" w:rsidRPr="005007D8">
        <w:rPr>
          <w:rFonts w:ascii="Times New Roman" w:hAnsi="Times New Roman" w:cs="Times New Roman"/>
          <w:color w:val="70AD47" w:themeColor="accent6"/>
          <w:sz w:val="24"/>
          <w:szCs w:val="24"/>
        </w:rPr>
        <w:t xml:space="preserve">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cautela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Pr="005007D8" w:rsidRDefault="00EF66AD" w:rsidP="001516E1">
      <w:pPr>
        <w:pStyle w:val="HTMLconformatoprevio"/>
        <w:shd w:val="clear" w:color="auto" w:fill="FFFFFF"/>
        <w:spacing w:line="360" w:lineRule="auto"/>
        <w:jc w:val="both"/>
        <w:rPr>
          <w:rFonts w:ascii="Times New Roman" w:hAnsi="Times New Roman" w:cs="Times New Roman"/>
          <w:color w:val="70AD47" w:themeColor="accent6"/>
          <w:sz w:val="24"/>
          <w:szCs w:val="24"/>
        </w:rPr>
      </w:pPr>
    </w:p>
    <w:p w:rsidR="00D159C7" w:rsidRPr="005007D8" w:rsidRDefault="00AC6623" w:rsidP="00073373">
      <w:pPr>
        <w:pStyle w:val="HTMLconformatoprevio"/>
        <w:shd w:val="clear" w:color="auto" w:fill="FFFFFF"/>
        <w:spacing w:line="360" w:lineRule="auto"/>
        <w:jc w:val="both"/>
        <w:rPr>
          <w:rFonts w:ascii="Times New Roman" w:hAnsi="Times New Roman" w:cs="Times New Roman"/>
          <w:color w:val="70AD47" w:themeColor="accent6"/>
          <w:sz w:val="24"/>
          <w:szCs w:val="24"/>
        </w:rPr>
      </w:pPr>
      <w:r w:rsidRPr="005007D8">
        <w:rPr>
          <w:rFonts w:ascii="Times New Roman" w:hAnsi="Times New Roman" w:cs="Times New Roman"/>
          <w:color w:val="70AD47" w:themeColor="accent6"/>
          <w:sz w:val="24"/>
          <w:szCs w:val="24"/>
        </w:rPr>
        <w:t xml:space="preserve">Estos golpes parlamentarios se valen de argumentos denunciando al gobierno en ejercicio por una violación comprobable de las reglas normales de la administración. Asimismo, </w:t>
      </w:r>
      <w:r w:rsidR="00EF66AD" w:rsidRPr="005007D8">
        <w:rPr>
          <w:rFonts w:ascii="Times New Roman" w:hAnsi="Times New Roman" w:cs="Times New Roman"/>
          <w:color w:val="70AD47" w:themeColor="accent6"/>
          <w:sz w:val="24"/>
          <w:szCs w:val="24"/>
        </w:rPr>
        <w:t xml:space="preserve">sufren de una inherente inestabilidad que no desaparece con la sustitución de los políticos cuestionados. </w:t>
      </w:r>
    </w:p>
    <w:p w:rsidR="00D159C7" w:rsidRDefault="00D159C7" w:rsidP="00851A3C">
      <w:pPr>
        <w:pStyle w:val="HTMLconformatoprevio"/>
        <w:shd w:val="clear" w:color="auto" w:fill="FFFFFF"/>
        <w:spacing w:line="360" w:lineRule="auto"/>
        <w:jc w:val="both"/>
        <w:rPr>
          <w:rFonts w:ascii="Times New Roman" w:hAnsi="Times New Roman" w:cs="Times New Roman"/>
          <w:sz w:val="24"/>
          <w:szCs w:val="24"/>
        </w:rPr>
      </w:pPr>
    </w:p>
    <w:p w:rsidR="00930C3A" w:rsidRPr="00930C3A" w:rsidRDefault="00851A3C" w:rsidP="00851A3C">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cuál redactarán los hechos sucedidos, se considera necesario realizar una aproximación conceptual sobre aquellas concepciones que resultarán pertinentes en el desarrollo del trabajo. </w:t>
      </w:r>
      <w:r w:rsidR="00FE105A" w:rsidRPr="00A35912">
        <w:rPr>
          <w:rFonts w:ascii="Times New Roman" w:hAnsi="Times New Roman" w:cs="Times New Roman"/>
          <w:sz w:val="24"/>
          <w:szCs w:val="24"/>
        </w:rPr>
        <w:br/>
      </w:r>
    </w:p>
    <w:p w:rsidR="00A0714E"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w:t>
      </w:r>
      <w:proofErr w:type="gramStart"/>
      <w:r w:rsidRPr="005E7081">
        <w:rPr>
          <w:rFonts w:ascii="Times New Roman" w:hAnsi="Times New Roman" w:cs="Times New Roman"/>
          <w:sz w:val="24"/>
          <w:szCs w:val="24"/>
          <w:shd w:val="clear" w:color="auto" w:fill="FFFFFF"/>
        </w:rPr>
        <w:t>de acuerdo a</w:t>
      </w:r>
      <w:proofErr w:type="gramEnd"/>
      <w:r w:rsidRPr="005E7081">
        <w:rPr>
          <w:rFonts w:ascii="Times New Roman" w:hAnsi="Times New Roman" w:cs="Times New Roman"/>
          <w:sz w:val="24"/>
          <w:szCs w:val="24"/>
          <w:shd w:val="clear" w:color="auto" w:fill="FFFFFF"/>
        </w:rPr>
        <w:t xml:space="preserve">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w:t>
      </w:r>
      <w:proofErr w:type="gramStart"/>
      <w:r>
        <w:rPr>
          <w:rFonts w:ascii="Times New Roman" w:hAnsi="Times New Roman" w:cs="Times New Roman"/>
          <w:sz w:val="24"/>
          <w:szCs w:val="24"/>
          <w:shd w:val="clear" w:color="auto" w:fill="FFFFFF"/>
        </w:rPr>
        <w:t>las mismas</w:t>
      </w:r>
      <w:proofErr w:type="gramEnd"/>
      <w:r>
        <w:rPr>
          <w:rFonts w:ascii="Times New Roman" w:hAnsi="Times New Roman" w:cs="Times New Roman"/>
          <w:sz w:val="24"/>
          <w:szCs w:val="24"/>
          <w:shd w:val="clear" w:color="auto" w:fill="FFFFFF"/>
        </w:rPr>
        <w:t xml:space="preserve">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lastRenderedPageBreak/>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w:t>
      </w:r>
      <w:r>
        <w:rPr>
          <w:rFonts w:ascii="Times New Roman" w:eastAsia="Times New Roman" w:hAnsi="Times New Roman" w:cs="Times New Roman"/>
          <w:sz w:val="24"/>
          <w:szCs w:val="24"/>
        </w:rPr>
        <w:lastRenderedPageBreak/>
        <w:t xml:space="preserve">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525145020"/>
      <w:r>
        <w:rPr>
          <w:rFonts w:ascii="Times New Roman" w:hAnsi="Times New Roman" w:cs="Times New Roman"/>
          <w:sz w:val="24"/>
          <w:szCs w:val="24"/>
        </w:rPr>
        <w:t>MARCO METODOLOGICO</w:t>
      </w:r>
      <w:bookmarkEnd w:id="2"/>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 xml:space="preserve">el análisis del caso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caso relevante. </w:t>
      </w:r>
      <w:r w:rsidR="00E91B05" w:rsidRPr="00930C3A">
        <w:rPr>
          <w:rFonts w:ascii="Times New Roman" w:hAnsi="Times New Roman" w:cs="Times New Roman"/>
          <w:color w:val="FF0000"/>
          <w:sz w:val="24"/>
          <w:szCs w:val="24"/>
        </w:rPr>
        <w:t xml:space="preserve">Además, en los estudios de un solo caso se evita la </w:t>
      </w:r>
      <w:r w:rsidR="00E91B05" w:rsidRPr="00930C3A">
        <w:rPr>
          <w:rFonts w:ascii="Times New Roman" w:hAnsi="Times New Roman" w:cs="Times New Roman"/>
          <w:color w:val="FF0000"/>
          <w:sz w:val="24"/>
          <w:szCs w:val="24"/>
        </w:rPr>
        <w:lastRenderedPageBreak/>
        <w:t>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permite un análisis de mayor profundidad ya que admite tomar en consideración una gran cantidad de propiedades del caso y analizarlas en la compleja red de interrelaciones que conforman al fenómeno analizado (</w:t>
      </w:r>
      <w:proofErr w:type="spellStart"/>
      <w:r w:rsidR="00320AE9" w:rsidRPr="00930C3A">
        <w:rPr>
          <w:rFonts w:ascii="Times New Roman" w:hAnsi="Times New Roman" w:cs="Times New Roman"/>
          <w:color w:val="FF0000"/>
          <w:sz w:val="24"/>
          <w:szCs w:val="24"/>
        </w:rPr>
        <w:t>Bartolini</w:t>
      </w:r>
      <w:proofErr w:type="spellEnd"/>
      <w:r w:rsidR="00320AE9" w:rsidRPr="00930C3A">
        <w:rPr>
          <w:rFonts w:ascii="Times New Roman" w:hAnsi="Times New Roman" w:cs="Times New Roman"/>
          <w:color w:val="FF0000"/>
          <w:sz w:val="24"/>
          <w:szCs w:val="24"/>
        </w:rPr>
        <w:t>, 1975).</w:t>
      </w:r>
      <w:r w:rsidR="00930C3A">
        <w:rPr>
          <w:rFonts w:ascii="Times New Roman" w:hAnsi="Times New Roman" w:cs="Times New Roman"/>
          <w:color w:val="FF0000"/>
          <w:sz w:val="24"/>
          <w:szCs w:val="24"/>
        </w:rPr>
        <w:t xml:space="preserve"> (revisar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 en este caso</w:t>
      </w:r>
      <w:r w:rsidRPr="004A041D">
        <w:rPr>
          <w:rFonts w:ascii="Times New Roman" w:eastAsia="Times New Roman" w:hAnsi="Times New Roman" w:cs="Times New Roman"/>
          <w:sz w:val="24"/>
          <w:szCs w:val="24"/>
          <w:lang w:eastAsia="es-AR"/>
        </w:rPr>
        <w:t xml:space="preserve"> Paraguay, perteneciente a Latinoamérica</w:t>
      </w:r>
      <w:r w:rsidR="004A041D" w:rsidRPr="004A041D">
        <w:rPr>
          <w:rFonts w:ascii="Times New Roman" w:eastAsia="Times New Roman" w:hAnsi="Times New Roman" w:cs="Times New Roman"/>
          <w:sz w:val="24"/>
          <w:szCs w:val="24"/>
          <w:lang w:eastAsia="es-AR"/>
        </w:rPr>
        <w:t xml:space="preserve">, en el cual se compararán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w:t>
      </w:r>
      <w:r w:rsidR="002901F6">
        <w:rPr>
          <w:rFonts w:ascii="Times New Roman" w:eastAsia="Times New Roman" w:hAnsi="Times New Roman" w:cs="Times New Roman"/>
          <w:sz w:val="24"/>
          <w:szCs w:val="24"/>
          <w:lang w:eastAsia="es-AR"/>
        </w:rPr>
        <w:t xml:space="preserve">en un mismo período de tiempo. </w:t>
      </w:r>
      <w:r w:rsidRPr="002901F6">
        <w:rPr>
          <w:rFonts w:ascii="Times New Roman" w:eastAsia="Times New Roman" w:hAnsi="Times New Roman" w:cs="Times New Roman"/>
          <w:sz w:val="24"/>
          <w:szCs w:val="24"/>
          <w:lang w:eastAsia="es-AR"/>
        </w:rPr>
        <w:t xml:space="preserve">Poder delimitar el fenómeno en ambos casos, permitirá demarcar el inicio y el fin del fenómeno que construye la dimensión temporal de la comparación. </w:t>
      </w: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xml:space="preserve">Este trabajo se sostiene sobre una metodología cualitativa en la que además de analizar la bibliografía pertinente sobre el tema y estudiar la historia política paraguaya, se ha realizado un análisis crítico de los discursos esgrimidos de forma escrita por los medios de comunicación seleccionados en sus páginas web oficiales.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Para 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lastRenderedPageBreak/>
        <w:t>ANÁLISIS DE LOS CASOS</w:t>
      </w:r>
    </w:p>
    <w:p w:rsidR="007C5E49" w:rsidRPr="007C5E49" w:rsidRDefault="007C5E49" w:rsidP="007C5E49">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3" w:name="_Toc525145019"/>
      <w:r w:rsidRPr="00935509">
        <w:rPr>
          <w:rFonts w:ascii="Times New Roman" w:hAnsi="Times New Roman" w:cs="Times New Roman"/>
          <w:sz w:val="24"/>
          <w:szCs w:val="24"/>
        </w:rPr>
        <w:t>JUSTIFICACIONES EN LA ELECCIÓN DE LOS MEDIOS:</w:t>
      </w:r>
      <w:bookmarkEnd w:id="3"/>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proofErr w:type="gramStart"/>
      <w:r w:rsidR="006C0026">
        <w:rPr>
          <w:rFonts w:ascii="Times New Roman" w:hAnsi="Times New Roman" w:cs="Times New Roman"/>
          <w:sz w:val="24"/>
          <w:szCs w:val="24"/>
        </w:rPr>
        <w:t>oficiales</w:t>
      </w:r>
      <w:proofErr w:type="gramEnd"/>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p>
    <w:p w:rsidR="0041650D" w:rsidRDefault="0041650D" w:rsidP="000D3DF0">
      <w:pPr>
        <w:spacing w:line="360" w:lineRule="auto"/>
        <w:jc w:val="both"/>
        <w:rPr>
          <w:rFonts w:ascii="Times New Roman" w:hAnsi="Times New Roman" w:cs="Times New Roman"/>
          <w:sz w:val="24"/>
          <w:szCs w:val="24"/>
        </w:rPr>
      </w:pP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4" w:name="_Toc525145021"/>
      <w:r>
        <w:rPr>
          <w:rFonts w:ascii="Times New Roman" w:hAnsi="Times New Roman" w:cs="Times New Roman"/>
          <w:sz w:val="24"/>
          <w:szCs w:val="24"/>
        </w:rPr>
        <w:t>MARCO LEGAL</w:t>
      </w:r>
      <w:bookmarkEnd w:id="4"/>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ANTECEDENTES HISTORICOS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41650D" w:rsidRDefault="0041650D"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w:t>
      </w:r>
      <w:r w:rsidR="00D5289F">
        <w:rPr>
          <w:rFonts w:ascii="Times New Roman" w:hAnsi="Times New Roman" w:cs="Times New Roman"/>
          <w:sz w:val="24"/>
          <w:szCs w:val="24"/>
        </w:rPr>
        <w:t>PARAGUAY</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Pr>
          <w:rFonts w:ascii="Times New Roman" w:hAnsi="Times New Roman" w:cs="Times New Roman"/>
          <w:sz w:val="24"/>
          <w:szCs w:val="24"/>
        </w:rPr>
        <w:t xml:space="preserve"> de que solo 9 de ese total fueron militares, la mayoría tenía una relación estrecha con las fuerzas armadas. Esto permite vislumbrar que </w:t>
      </w:r>
      <w:r>
        <w:rPr>
          <w:rFonts w:ascii="Times New Roman" w:hAnsi="Times New Roman" w:cs="Times New Roman"/>
          <w:sz w:val="24"/>
          <w:szCs w:val="24"/>
        </w:rPr>
        <w:lastRenderedPageBreak/>
        <w:t>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p>
    <w:p w:rsidR="005A27A2" w:rsidRDefault="005A27A2" w:rsidP="00482A90">
      <w:pPr>
        <w:spacing w:line="360" w:lineRule="auto"/>
        <w:jc w:val="both"/>
        <w:rPr>
          <w:rFonts w:ascii="Times New Roman" w:hAnsi="Times New Roman" w:cs="Times New Roman"/>
          <w:sz w:val="24"/>
          <w:szCs w:val="24"/>
        </w:rPr>
      </w:pPr>
      <w:r w:rsidRPr="005A27A2">
        <w:rPr>
          <w:rFonts w:ascii="Times New Roman" w:hAnsi="Times New Roman" w:cs="Times New Roman"/>
          <w:sz w:val="24"/>
          <w:szCs w:val="24"/>
        </w:rPr>
        <w:t xml:space="preserve">En países como Paraguay, el descontento y el rechazo de la población hacia las instituciones políticas por malas decisiones, el crecimiento de la desigualdad, 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w:t>
      </w:r>
      <w:proofErr w:type="gramStart"/>
      <w:r w:rsidRPr="00565C35">
        <w:rPr>
          <w:rFonts w:ascii="Times New Roman" w:eastAsia="Times New Roman" w:hAnsi="Times New Roman" w:cs="Times New Roman"/>
          <w:sz w:val="24"/>
          <w:szCs w:val="24"/>
        </w:rPr>
        <w:t>y</w:t>
      </w:r>
      <w:proofErr w:type="gramEnd"/>
      <w:r w:rsidRPr="00565C35">
        <w:rPr>
          <w:rFonts w:ascii="Times New Roman" w:eastAsia="Times New Roman" w:hAnsi="Times New Roman" w:cs="Times New Roman"/>
          <w:sz w:val="24"/>
          <w:szCs w:val="24"/>
        </w:rPr>
        <w:t xml:space="preserve"> además, no veía al Estado como un botín de guerra. Como menciona Rodríguez (2009) “Lugo es un jefe de Estado que no ejerce como jefe de </w:t>
      </w:r>
      <w:r w:rsidRPr="00565C35">
        <w:rPr>
          <w:rFonts w:ascii="Times New Roman" w:eastAsia="Times New Roman" w:hAnsi="Times New Roman" w:cs="Times New Roman"/>
          <w:sz w:val="24"/>
          <w:szCs w:val="24"/>
        </w:rPr>
        <w:lastRenderedPageBreak/>
        <w:t>gobierno. Su comportamiento se asemeja más al de un monarca constitucional (o episcopal) que garantiza la estabilidad de un gobierno que no gerencia” (p.10).</w:t>
      </w:r>
    </w:p>
    <w:p w:rsidR="00D5289F" w:rsidRPr="00565C35" w:rsidRDefault="00565C35" w:rsidP="00D5289F">
      <w:pPr>
        <w:spacing w:line="360" w:lineRule="auto"/>
        <w:jc w:val="both"/>
        <w:rPr>
          <w:rFonts w:ascii="Times New Roman" w:eastAsia="Times New Roman" w:hAnsi="Times New Roman" w:cs="Times New Roman"/>
          <w:sz w:val="24"/>
          <w:szCs w:val="24"/>
        </w:rPr>
      </w:pPr>
      <w:bookmarkStart w:id="5" w:name="_gjdgxs" w:colFirst="0" w:colLast="0"/>
      <w:bookmarkEnd w:id="5"/>
      <w:r w:rsidRPr="00565C35">
        <w:rPr>
          <w:rFonts w:ascii="Times New Roman" w:eastAsia="Times New Roman" w:hAnsi="Times New Roman" w:cs="Times New Roman"/>
          <w:sz w:val="24"/>
          <w:szCs w:val="24"/>
        </w:rPr>
        <w:t xml:space="preserve">Como menciona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En el caso de Lugo, tras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con 76 votos a favor y 1 en contra su realización. El mismo viernes 22 de junio, con una rapidez inusitada que no dejó de llamar la atención de la región y del mundo, se fraguó el </w:t>
      </w:r>
      <w:r w:rsidRPr="00EE4D05">
        <w:rPr>
          <w:rFonts w:ascii="Times New Roman" w:eastAsia="Times New Roman" w:hAnsi="Times New Roman" w:cs="Times New Roman"/>
          <w:i/>
          <w:color w:val="FF0000"/>
          <w:sz w:val="24"/>
          <w:szCs w:val="24"/>
        </w:rPr>
        <w:t>juicio sumario</w:t>
      </w:r>
      <w:r w:rsidRPr="00EE4D05">
        <w:rPr>
          <w:rFonts w:ascii="Times New Roman" w:eastAsia="Times New Roman" w:hAnsi="Times New Roman" w:cs="Times New Roman"/>
          <w:color w:val="FF0000"/>
          <w:sz w:val="24"/>
          <w:szCs w:val="24"/>
        </w:rPr>
        <w:t xml:space="preserve">. La misma noche del viernes, el vicepresidente liberal Federico Franco asumió como presidente de la República. La destitución que no contempló las formalidades del “debido proceso” adquirió la magnitud de una </w:t>
      </w:r>
      <w:r w:rsidRPr="00EE4D05">
        <w:rPr>
          <w:rFonts w:ascii="Times New Roman" w:eastAsia="Times New Roman" w:hAnsi="Times New Roman" w:cs="Times New Roman"/>
          <w:i/>
          <w:color w:val="FF0000"/>
          <w:sz w:val="24"/>
          <w:szCs w:val="24"/>
        </w:rPr>
        <w:t>paparruchada jurídica</w:t>
      </w:r>
      <w:r w:rsidRPr="00EE4D05">
        <w:rPr>
          <w:rFonts w:ascii="Times New Roman" w:eastAsia="Times New Roman" w:hAnsi="Times New Roman" w:cs="Times New Roman"/>
          <w:color w:val="FF0000"/>
          <w:sz w:val="24"/>
          <w:szCs w:val="24"/>
        </w:rPr>
        <w:t xml:space="preserve"> y suscitó un unánime rechazo por parte de la comunidad internacional” (Castells y Castells, 2012, p. 47). </w:t>
      </w:r>
    </w:p>
    <w:p w:rsidR="00D5289F" w:rsidRPr="00EE4D05" w:rsidRDefault="00D5289F" w:rsidP="00D5289F">
      <w:pPr>
        <w:spacing w:line="360" w:lineRule="auto"/>
        <w:jc w:val="both"/>
        <w:rPr>
          <w:rFonts w:ascii="Times New Roman" w:eastAsia="Times New Roman" w:hAnsi="Times New Roman" w:cs="Times New Roman"/>
          <w:color w:val="FF0000"/>
          <w:sz w:val="24"/>
          <w:szCs w:val="24"/>
        </w:rPr>
      </w:pPr>
    </w:p>
    <w:p w:rsidR="007F1E14" w:rsidRPr="00AD2E32" w:rsidRDefault="00D5289F" w:rsidP="00482A90">
      <w:pPr>
        <w:spacing w:line="360" w:lineRule="auto"/>
        <w:jc w:val="both"/>
        <w:rPr>
          <w:rFonts w:ascii="Times New Roman" w:eastAsia="Times New Roman" w:hAnsi="Times New Roman" w:cs="Times New Roman"/>
          <w:color w:val="FF0000"/>
          <w:sz w:val="24"/>
          <w:szCs w:val="24"/>
        </w:rPr>
      </w:pPr>
      <w:r w:rsidRPr="00EE4D05">
        <w:rPr>
          <w:rFonts w:ascii="Times New Roman" w:eastAsia="Times New Roman" w:hAnsi="Times New Roman" w:cs="Times New Roman"/>
          <w:color w:val="FF0000"/>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bookmarkStart w:id="6" w:name="_GoBack"/>
      <w:bookmarkEnd w:id="6"/>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lastRenderedPageBreak/>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8306A" w:rsidRDefault="0058306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McCombs,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w:t>
      </w:r>
      <w:r w:rsidRPr="001A4DCA">
        <w:rPr>
          <w:rFonts w:ascii="Times New Roman" w:hAnsi="Times New Roman" w:cs="Times New Roman"/>
          <w:sz w:val="24"/>
          <w:szCs w:val="24"/>
        </w:rPr>
        <w:lastRenderedPageBreak/>
        <w:t xml:space="preserve">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1C2" w:rsidRDefault="004961C2" w:rsidP="00B72BB0">
      <w:pPr>
        <w:spacing w:after="0" w:line="240" w:lineRule="auto"/>
      </w:pPr>
      <w:r>
        <w:separator/>
      </w:r>
    </w:p>
  </w:endnote>
  <w:endnote w:type="continuationSeparator" w:id="0">
    <w:p w:rsidR="004961C2" w:rsidRDefault="004961C2"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5E06F5" w:rsidRPr="005E06F5">
          <w:rPr>
            <w:noProof/>
            <w:lang w:val="es-ES"/>
          </w:rPr>
          <w:t>20</w:t>
        </w:r>
        <w:r>
          <w:fldChar w:fldCharType="end"/>
        </w:r>
      </w:p>
    </w:sdtContent>
  </w:sdt>
  <w:p w:rsidR="00F91BB1" w:rsidRDefault="00F91B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1C2" w:rsidRDefault="004961C2" w:rsidP="00B72BB0">
      <w:pPr>
        <w:spacing w:after="0" w:line="240" w:lineRule="auto"/>
      </w:pPr>
      <w:r>
        <w:separator/>
      </w:r>
    </w:p>
  </w:footnote>
  <w:footnote w:type="continuationSeparator" w:id="0">
    <w:p w:rsidR="004961C2" w:rsidRDefault="004961C2" w:rsidP="00B72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04"/>
    <w:rsid w:val="00005F58"/>
    <w:rsid w:val="00023F34"/>
    <w:rsid w:val="0003402D"/>
    <w:rsid w:val="0004062A"/>
    <w:rsid w:val="00044B78"/>
    <w:rsid w:val="00073373"/>
    <w:rsid w:val="00091399"/>
    <w:rsid w:val="000A2693"/>
    <w:rsid w:val="000A647C"/>
    <w:rsid w:val="000B0B3E"/>
    <w:rsid w:val="000D3DF0"/>
    <w:rsid w:val="00103876"/>
    <w:rsid w:val="0011144B"/>
    <w:rsid w:val="00115F06"/>
    <w:rsid w:val="00117C4F"/>
    <w:rsid w:val="001203AA"/>
    <w:rsid w:val="00122AF7"/>
    <w:rsid w:val="00136893"/>
    <w:rsid w:val="00137BA3"/>
    <w:rsid w:val="001516E1"/>
    <w:rsid w:val="00163B55"/>
    <w:rsid w:val="001832C8"/>
    <w:rsid w:val="001A0A7F"/>
    <w:rsid w:val="001A386B"/>
    <w:rsid w:val="001A4DCA"/>
    <w:rsid w:val="001B1EEF"/>
    <w:rsid w:val="001D47BF"/>
    <w:rsid w:val="001D6553"/>
    <w:rsid w:val="001E3FB7"/>
    <w:rsid w:val="002024A9"/>
    <w:rsid w:val="00203631"/>
    <w:rsid w:val="00225877"/>
    <w:rsid w:val="00225A53"/>
    <w:rsid w:val="00233B6E"/>
    <w:rsid w:val="00236229"/>
    <w:rsid w:val="00240A40"/>
    <w:rsid w:val="00250EDF"/>
    <w:rsid w:val="00262CF0"/>
    <w:rsid w:val="00266345"/>
    <w:rsid w:val="002709D9"/>
    <w:rsid w:val="00281B5A"/>
    <w:rsid w:val="002901F6"/>
    <w:rsid w:val="002A4A76"/>
    <w:rsid w:val="002A4B41"/>
    <w:rsid w:val="002B5203"/>
    <w:rsid w:val="002B641D"/>
    <w:rsid w:val="002C1226"/>
    <w:rsid w:val="002C2EA8"/>
    <w:rsid w:val="002D2C4D"/>
    <w:rsid w:val="00306952"/>
    <w:rsid w:val="003076A2"/>
    <w:rsid w:val="00311BF3"/>
    <w:rsid w:val="00320AE9"/>
    <w:rsid w:val="00326104"/>
    <w:rsid w:val="00337F72"/>
    <w:rsid w:val="00350318"/>
    <w:rsid w:val="00376FFF"/>
    <w:rsid w:val="003A3D65"/>
    <w:rsid w:val="003A684D"/>
    <w:rsid w:val="003C0FE0"/>
    <w:rsid w:val="003D20FF"/>
    <w:rsid w:val="003E1FAE"/>
    <w:rsid w:val="004064DC"/>
    <w:rsid w:val="00406FA2"/>
    <w:rsid w:val="0041650D"/>
    <w:rsid w:val="00430C02"/>
    <w:rsid w:val="00441054"/>
    <w:rsid w:val="00441DCA"/>
    <w:rsid w:val="00460DB0"/>
    <w:rsid w:val="00481836"/>
    <w:rsid w:val="00482A90"/>
    <w:rsid w:val="00484D33"/>
    <w:rsid w:val="004911B1"/>
    <w:rsid w:val="004961C2"/>
    <w:rsid w:val="004A041D"/>
    <w:rsid w:val="004E28BE"/>
    <w:rsid w:val="005007D8"/>
    <w:rsid w:val="00500FC6"/>
    <w:rsid w:val="00501AF0"/>
    <w:rsid w:val="00512CD3"/>
    <w:rsid w:val="00524A24"/>
    <w:rsid w:val="005334E3"/>
    <w:rsid w:val="00544DA3"/>
    <w:rsid w:val="00565C35"/>
    <w:rsid w:val="005728E7"/>
    <w:rsid w:val="0058306A"/>
    <w:rsid w:val="005A27A2"/>
    <w:rsid w:val="005C601E"/>
    <w:rsid w:val="005D42F7"/>
    <w:rsid w:val="005E06F5"/>
    <w:rsid w:val="005E7081"/>
    <w:rsid w:val="005F6AE6"/>
    <w:rsid w:val="00600545"/>
    <w:rsid w:val="006074D1"/>
    <w:rsid w:val="0060762B"/>
    <w:rsid w:val="00616BF1"/>
    <w:rsid w:val="00630252"/>
    <w:rsid w:val="0064190F"/>
    <w:rsid w:val="00644AF1"/>
    <w:rsid w:val="00655D3D"/>
    <w:rsid w:val="006615BC"/>
    <w:rsid w:val="006620E0"/>
    <w:rsid w:val="00673370"/>
    <w:rsid w:val="00677FAC"/>
    <w:rsid w:val="006C0026"/>
    <w:rsid w:val="006C1322"/>
    <w:rsid w:val="006C4687"/>
    <w:rsid w:val="006E1B6E"/>
    <w:rsid w:val="006E583D"/>
    <w:rsid w:val="006F1714"/>
    <w:rsid w:val="006F1BAE"/>
    <w:rsid w:val="00710D0C"/>
    <w:rsid w:val="00720E0A"/>
    <w:rsid w:val="00735E14"/>
    <w:rsid w:val="007451A6"/>
    <w:rsid w:val="0075373D"/>
    <w:rsid w:val="007556BC"/>
    <w:rsid w:val="007568B0"/>
    <w:rsid w:val="00760D5A"/>
    <w:rsid w:val="00776369"/>
    <w:rsid w:val="00793269"/>
    <w:rsid w:val="00794511"/>
    <w:rsid w:val="00794D05"/>
    <w:rsid w:val="007970F6"/>
    <w:rsid w:val="007C5E49"/>
    <w:rsid w:val="007F1E14"/>
    <w:rsid w:val="0080084D"/>
    <w:rsid w:val="00800F0B"/>
    <w:rsid w:val="008062AB"/>
    <w:rsid w:val="00824721"/>
    <w:rsid w:val="00827BDB"/>
    <w:rsid w:val="00830FFC"/>
    <w:rsid w:val="00837C4D"/>
    <w:rsid w:val="00845294"/>
    <w:rsid w:val="00851A3C"/>
    <w:rsid w:val="00854EC0"/>
    <w:rsid w:val="00872DB4"/>
    <w:rsid w:val="00876464"/>
    <w:rsid w:val="0088140D"/>
    <w:rsid w:val="00883197"/>
    <w:rsid w:val="00897614"/>
    <w:rsid w:val="008B7E2F"/>
    <w:rsid w:val="008C5E95"/>
    <w:rsid w:val="008D158C"/>
    <w:rsid w:val="008F1B72"/>
    <w:rsid w:val="008F565E"/>
    <w:rsid w:val="00904E10"/>
    <w:rsid w:val="00930C3A"/>
    <w:rsid w:val="00935509"/>
    <w:rsid w:val="009600DA"/>
    <w:rsid w:val="009601CE"/>
    <w:rsid w:val="009640FC"/>
    <w:rsid w:val="00986AFD"/>
    <w:rsid w:val="00987B01"/>
    <w:rsid w:val="009917FF"/>
    <w:rsid w:val="009A1C40"/>
    <w:rsid w:val="009A256F"/>
    <w:rsid w:val="009B171B"/>
    <w:rsid w:val="009B17A4"/>
    <w:rsid w:val="009C04E5"/>
    <w:rsid w:val="009D7268"/>
    <w:rsid w:val="009F7C78"/>
    <w:rsid w:val="00A070AB"/>
    <w:rsid w:val="00A0714E"/>
    <w:rsid w:val="00A27939"/>
    <w:rsid w:val="00A35912"/>
    <w:rsid w:val="00A449A1"/>
    <w:rsid w:val="00A45152"/>
    <w:rsid w:val="00A52272"/>
    <w:rsid w:val="00A56F81"/>
    <w:rsid w:val="00A869B7"/>
    <w:rsid w:val="00A92D59"/>
    <w:rsid w:val="00A9462E"/>
    <w:rsid w:val="00AC6623"/>
    <w:rsid w:val="00AD2E32"/>
    <w:rsid w:val="00AD7A22"/>
    <w:rsid w:val="00AF139B"/>
    <w:rsid w:val="00AF2627"/>
    <w:rsid w:val="00B00416"/>
    <w:rsid w:val="00B06599"/>
    <w:rsid w:val="00B11C79"/>
    <w:rsid w:val="00B54076"/>
    <w:rsid w:val="00B71F40"/>
    <w:rsid w:val="00B72BB0"/>
    <w:rsid w:val="00B95239"/>
    <w:rsid w:val="00BA697E"/>
    <w:rsid w:val="00BB1B6C"/>
    <w:rsid w:val="00BC14C1"/>
    <w:rsid w:val="00BC43BD"/>
    <w:rsid w:val="00BD5891"/>
    <w:rsid w:val="00BF3D77"/>
    <w:rsid w:val="00BF7D73"/>
    <w:rsid w:val="00C0188F"/>
    <w:rsid w:val="00C01A93"/>
    <w:rsid w:val="00C037F0"/>
    <w:rsid w:val="00C039C7"/>
    <w:rsid w:val="00C12B63"/>
    <w:rsid w:val="00C20C9D"/>
    <w:rsid w:val="00C31B8F"/>
    <w:rsid w:val="00C34C41"/>
    <w:rsid w:val="00C4275B"/>
    <w:rsid w:val="00C461A7"/>
    <w:rsid w:val="00C60BF7"/>
    <w:rsid w:val="00C66EB6"/>
    <w:rsid w:val="00C72B89"/>
    <w:rsid w:val="00CC27C3"/>
    <w:rsid w:val="00CD3A93"/>
    <w:rsid w:val="00D112D4"/>
    <w:rsid w:val="00D11B45"/>
    <w:rsid w:val="00D13E5E"/>
    <w:rsid w:val="00D159C7"/>
    <w:rsid w:val="00D20DC9"/>
    <w:rsid w:val="00D5289F"/>
    <w:rsid w:val="00D618F4"/>
    <w:rsid w:val="00D6270C"/>
    <w:rsid w:val="00D754CC"/>
    <w:rsid w:val="00D85F00"/>
    <w:rsid w:val="00D91989"/>
    <w:rsid w:val="00D94510"/>
    <w:rsid w:val="00D97361"/>
    <w:rsid w:val="00DB3ED3"/>
    <w:rsid w:val="00DB53C3"/>
    <w:rsid w:val="00DC5785"/>
    <w:rsid w:val="00DD3C81"/>
    <w:rsid w:val="00DD654A"/>
    <w:rsid w:val="00E12835"/>
    <w:rsid w:val="00E232C6"/>
    <w:rsid w:val="00E24DFC"/>
    <w:rsid w:val="00E34B07"/>
    <w:rsid w:val="00E5042B"/>
    <w:rsid w:val="00E5776F"/>
    <w:rsid w:val="00E62AA5"/>
    <w:rsid w:val="00E80AC1"/>
    <w:rsid w:val="00E84CA3"/>
    <w:rsid w:val="00E91B05"/>
    <w:rsid w:val="00E954E7"/>
    <w:rsid w:val="00E95615"/>
    <w:rsid w:val="00EB770F"/>
    <w:rsid w:val="00EC06B7"/>
    <w:rsid w:val="00EC0AD5"/>
    <w:rsid w:val="00ED1C3E"/>
    <w:rsid w:val="00ED499E"/>
    <w:rsid w:val="00EE4D05"/>
    <w:rsid w:val="00EF4460"/>
    <w:rsid w:val="00EF66AD"/>
    <w:rsid w:val="00F02288"/>
    <w:rsid w:val="00F05E8E"/>
    <w:rsid w:val="00F11AFC"/>
    <w:rsid w:val="00F161D4"/>
    <w:rsid w:val="00F17D27"/>
    <w:rsid w:val="00F43A28"/>
    <w:rsid w:val="00F45B09"/>
    <w:rsid w:val="00F45FB7"/>
    <w:rsid w:val="00F5069B"/>
    <w:rsid w:val="00F613D9"/>
    <w:rsid w:val="00F623D0"/>
    <w:rsid w:val="00F67988"/>
    <w:rsid w:val="00F75445"/>
    <w:rsid w:val="00F91BB1"/>
    <w:rsid w:val="00F95A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2557F8"/>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40EA-02A3-4197-A2EA-A05E7E24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33</Pages>
  <Words>10294</Words>
  <Characters>56623</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87</cp:revision>
  <dcterms:created xsi:type="dcterms:W3CDTF">2018-05-08T14:32:00Z</dcterms:created>
  <dcterms:modified xsi:type="dcterms:W3CDTF">2019-01-21T00:30:00Z</dcterms:modified>
</cp:coreProperties>
</file>