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C63981"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15831" w:history="1">
        <w:r w:rsidR="00C63981" w:rsidRPr="00776482">
          <w:rPr>
            <w:rStyle w:val="Hipervnculo"/>
          </w:rPr>
          <w:t>INTRODUCCIÓN</w:t>
        </w:r>
        <w:r w:rsidR="00C63981">
          <w:rPr>
            <w:webHidden/>
          </w:rPr>
          <w:tab/>
        </w:r>
        <w:r w:rsidR="00C63981">
          <w:rPr>
            <w:webHidden/>
          </w:rPr>
          <w:fldChar w:fldCharType="begin"/>
        </w:r>
        <w:r w:rsidR="00C63981">
          <w:rPr>
            <w:webHidden/>
          </w:rPr>
          <w:instrText xml:space="preserve"> PAGEREF _Toc15831 \h </w:instrText>
        </w:r>
        <w:r w:rsidR="00C63981">
          <w:rPr>
            <w:webHidden/>
          </w:rPr>
        </w:r>
        <w:r w:rsidR="00C63981">
          <w:rPr>
            <w:webHidden/>
          </w:rPr>
          <w:fldChar w:fldCharType="separate"/>
        </w:r>
        <w:r w:rsidR="00C63981">
          <w:rPr>
            <w:webHidden/>
          </w:rPr>
          <w:t>1</w:t>
        </w:r>
        <w:r w:rsidR="00C63981">
          <w:rPr>
            <w:webHidden/>
          </w:rPr>
          <w:fldChar w:fldCharType="end"/>
        </w:r>
      </w:hyperlink>
    </w:p>
    <w:p w:rsidR="00C63981" w:rsidRDefault="00866EBC">
      <w:pPr>
        <w:pStyle w:val="TDC1"/>
        <w:rPr>
          <w:rFonts w:asciiTheme="minorHAnsi" w:eastAsiaTheme="minorEastAsia" w:hAnsiTheme="minorHAnsi" w:cstheme="minorBidi"/>
          <w:lang w:eastAsia="es-AR"/>
        </w:rPr>
      </w:pPr>
      <w:hyperlink w:anchor="_Toc15832" w:history="1">
        <w:r w:rsidR="00C63981" w:rsidRPr="00776482">
          <w:rPr>
            <w:rStyle w:val="Hipervnculo"/>
            <w:rFonts w:eastAsia="Times New Roman"/>
          </w:rPr>
          <w:t>MARCO TEÓRICO</w:t>
        </w:r>
        <w:r w:rsidR="00C63981">
          <w:rPr>
            <w:webHidden/>
          </w:rPr>
          <w:tab/>
        </w:r>
        <w:r w:rsidR="00C63981">
          <w:rPr>
            <w:webHidden/>
          </w:rPr>
          <w:fldChar w:fldCharType="begin"/>
        </w:r>
        <w:r w:rsidR="00C63981">
          <w:rPr>
            <w:webHidden/>
          </w:rPr>
          <w:instrText xml:space="preserve"> PAGEREF _Toc15832 \h </w:instrText>
        </w:r>
        <w:r w:rsidR="00C63981">
          <w:rPr>
            <w:webHidden/>
          </w:rPr>
        </w:r>
        <w:r w:rsidR="00C63981">
          <w:rPr>
            <w:webHidden/>
          </w:rPr>
          <w:fldChar w:fldCharType="separate"/>
        </w:r>
        <w:r w:rsidR="00C63981">
          <w:rPr>
            <w:webHidden/>
          </w:rPr>
          <w:t>7</w:t>
        </w:r>
        <w:r w:rsidR="00C63981">
          <w:rPr>
            <w:webHidden/>
          </w:rPr>
          <w:fldChar w:fldCharType="end"/>
        </w:r>
      </w:hyperlink>
    </w:p>
    <w:p w:rsidR="00C63981" w:rsidRDefault="00866EBC">
      <w:pPr>
        <w:pStyle w:val="TDC1"/>
        <w:rPr>
          <w:rFonts w:asciiTheme="minorHAnsi" w:eastAsiaTheme="minorEastAsia" w:hAnsiTheme="minorHAnsi" w:cstheme="minorBidi"/>
          <w:lang w:eastAsia="es-AR"/>
        </w:rPr>
      </w:pPr>
      <w:hyperlink w:anchor="_Toc15833" w:history="1">
        <w:r w:rsidR="00C63981" w:rsidRPr="00776482">
          <w:rPr>
            <w:rStyle w:val="Hipervnculo"/>
          </w:rPr>
          <w:t>MARCO METODOLOGICO</w:t>
        </w:r>
        <w:r w:rsidR="00C63981">
          <w:rPr>
            <w:webHidden/>
          </w:rPr>
          <w:tab/>
        </w:r>
        <w:r w:rsidR="00C63981">
          <w:rPr>
            <w:webHidden/>
          </w:rPr>
          <w:fldChar w:fldCharType="begin"/>
        </w:r>
        <w:r w:rsidR="00C63981">
          <w:rPr>
            <w:webHidden/>
          </w:rPr>
          <w:instrText xml:space="preserve"> PAGEREF _Toc15833 \h </w:instrText>
        </w:r>
        <w:r w:rsidR="00C63981">
          <w:rPr>
            <w:webHidden/>
          </w:rPr>
        </w:r>
        <w:r w:rsidR="00C63981">
          <w:rPr>
            <w:webHidden/>
          </w:rPr>
          <w:fldChar w:fldCharType="separate"/>
        </w:r>
        <w:r w:rsidR="00C63981">
          <w:rPr>
            <w:webHidden/>
          </w:rPr>
          <w:t>18</w:t>
        </w:r>
        <w:r w:rsidR="00C63981">
          <w:rPr>
            <w:webHidden/>
          </w:rPr>
          <w:fldChar w:fldCharType="end"/>
        </w:r>
      </w:hyperlink>
    </w:p>
    <w:p w:rsidR="00C63981" w:rsidRDefault="00866EBC">
      <w:pPr>
        <w:pStyle w:val="TDC1"/>
        <w:rPr>
          <w:rFonts w:asciiTheme="minorHAnsi" w:eastAsiaTheme="minorEastAsia" w:hAnsiTheme="minorHAnsi" w:cstheme="minorBidi"/>
          <w:lang w:eastAsia="es-AR"/>
        </w:rPr>
      </w:pPr>
      <w:hyperlink w:anchor="_Toc15834" w:history="1">
        <w:r w:rsidR="00C63981" w:rsidRPr="00776482">
          <w:rPr>
            <w:rStyle w:val="Hipervnculo"/>
            <w:rFonts w:eastAsia="Times New Roman"/>
          </w:rPr>
          <w:t>ANÁLISIS DE LOS CASOS</w:t>
        </w:r>
        <w:r w:rsidR="00C63981">
          <w:rPr>
            <w:webHidden/>
          </w:rPr>
          <w:tab/>
        </w:r>
        <w:r w:rsidR="00C63981">
          <w:rPr>
            <w:webHidden/>
          </w:rPr>
          <w:fldChar w:fldCharType="begin"/>
        </w:r>
        <w:r w:rsidR="00C63981">
          <w:rPr>
            <w:webHidden/>
          </w:rPr>
          <w:instrText xml:space="preserve"> PAGEREF _Toc15834 \h </w:instrText>
        </w:r>
        <w:r w:rsidR="00C63981">
          <w:rPr>
            <w:webHidden/>
          </w:rPr>
        </w:r>
        <w:r w:rsidR="00C63981">
          <w:rPr>
            <w:webHidden/>
          </w:rPr>
          <w:fldChar w:fldCharType="separate"/>
        </w:r>
        <w:r w:rsidR="00C63981">
          <w:rPr>
            <w:webHidden/>
          </w:rPr>
          <w:t>21</w:t>
        </w:r>
        <w:r w:rsidR="00C63981">
          <w:rPr>
            <w:webHidden/>
          </w:rPr>
          <w:fldChar w:fldCharType="end"/>
        </w:r>
      </w:hyperlink>
    </w:p>
    <w:p w:rsidR="00C63981" w:rsidRDefault="00866EBC">
      <w:pPr>
        <w:pStyle w:val="TDC2"/>
        <w:tabs>
          <w:tab w:val="right" w:leader="dot" w:pos="8828"/>
        </w:tabs>
        <w:rPr>
          <w:rFonts w:eastAsiaTheme="minorEastAsia"/>
          <w:noProof/>
          <w:lang w:eastAsia="es-AR"/>
        </w:rPr>
      </w:pPr>
      <w:hyperlink w:anchor="_Toc15835" w:history="1">
        <w:r w:rsidR="00C63981" w:rsidRPr="00776482">
          <w:rPr>
            <w:rStyle w:val="Hipervnculo"/>
            <w:rFonts w:ascii="Times New Roman" w:hAnsi="Times New Roman" w:cs="Times New Roman"/>
            <w:noProof/>
          </w:rPr>
          <w:t>JUSTIFICACIONES EN LA ELECCIÓN DE LOS MEDIOS:</w:t>
        </w:r>
        <w:r w:rsidR="00C63981">
          <w:rPr>
            <w:noProof/>
            <w:webHidden/>
          </w:rPr>
          <w:tab/>
        </w:r>
        <w:r w:rsidR="00C63981">
          <w:rPr>
            <w:noProof/>
            <w:webHidden/>
          </w:rPr>
          <w:fldChar w:fldCharType="begin"/>
        </w:r>
        <w:r w:rsidR="00C63981">
          <w:rPr>
            <w:noProof/>
            <w:webHidden/>
          </w:rPr>
          <w:instrText xml:space="preserve"> PAGEREF _Toc15835 \h </w:instrText>
        </w:r>
        <w:r w:rsidR="00C63981">
          <w:rPr>
            <w:noProof/>
            <w:webHidden/>
          </w:rPr>
        </w:r>
        <w:r w:rsidR="00C63981">
          <w:rPr>
            <w:noProof/>
            <w:webHidden/>
          </w:rPr>
          <w:fldChar w:fldCharType="separate"/>
        </w:r>
        <w:r w:rsidR="00C63981">
          <w:rPr>
            <w:noProof/>
            <w:webHidden/>
          </w:rPr>
          <w:t>21</w:t>
        </w:r>
        <w:r w:rsidR="00C63981">
          <w:rPr>
            <w:noProof/>
            <w:webHidden/>
          </w:rPr>
          <w:fldChar w:fldCharType="end"/>
        </w:r>
      </w:hyperlink>
    </w:p>
    <w:p w:rsidR="00C63981" w:rsidRDefault="00866EBC">
      <w:pPr>
        <w:pStyle w:val="TDC2"/>
        <w:tabs>
          <w:tab w:val="right" w:leader="dot" w:pos="8828"/>
        </w:tabs>
        <w:rPr>
          <w:rFonts w:eastAsiaTheme="minorEastAsia"/>
          <w:noProof/>
          <w:lang w:eastAsia="es-AR"/>
        </w:rPr>
      </w:pPr>
      <w:hyperlink w:anchor="_Toc15836" w:history="1">
        <w:r w:rsidR="00C63981" w:rsidRPr="00776482">
          <w:rPr>
            <w:rStyle w:val="Hipervnculo"/>
            <w:rFonts w:ascii="Times New Roman" w:hAnsi="Times New Roman" w:cs="Times New Roman"/>
            <w:noProof/>
          </w:rPr>
          <w:t>MARCO LEGAL</w:t>
        </w:r>
        <w:r w:rsidR="00C63981">
          <w:rPr>
            <w:noProof/>
            <w:webHidden/>
          </w:rPr>
          <w:tab/>
        </w:r>
        <w:r w:rsidR="00C63981">
          <w:rPr>
            <w:noProof/>
            <w:webHidden/>
          </w:rPr>
          <w:fldChar w:fldCharType="begin"/>
        </w:r>
        <w:r w:rsidR="00C63981">
          <w:rPr>
            <w:noProof/>
            <w:webHidden/>
          </w:rPr>
          <w:instrText xml:space="preserve"> PAGEREF _Toc15836 \h </w:instrText>
        </w:r>
        <w:r w:rsidR="00C63981">
          <w:rPr>
            <w:noProof/>
            <w:webHidden/>
          </w:rPr>
        </w:r>
        <w:r w:rsidR="00C63981">
          <w:rPr>
            <w:noProof/>
            <w:webHidden/>
          </w:rPr>
          <w:fldChar w:fldCharType="separate"/>
        </w:r>
        <w:r w:rsidR="00C63981">
          <w:rPr>
            <w:noProof/>
            <w:webHidden/>
          </w:rPr>
          <w:t>22</w:t>
        </w:r>
        <w:r w:rsidR="00C63981">
          <w:rPr>
            <w:noProof/>
            <w:webHidden/>
          </w:rPr>
          <w:fldChar w:fldCharType="end"/>
        </w:r>
      </w:hyperlink>
    </w:p>
    <w:p w:rsidR="00C63981" w:rsidRDefault="00866EBC">
      <w:pPr>
        <w:pStyle w:val="TDC2"/>
        <w:tabs>
          <w:tab w:val="right" w:leader="dot" w:pos="8828"/>
        </w:tabs>
        <w:rPr>
          <w:rFonts w:eastAsiaTheme="minorEastAsia"/>
          <w:noProof/>
          <w:lang w:eastAsia="es-AR"/>
        </w:rPr>
      </w:pPr>
      <w:hyperlink w:anchor="_Toc15837" w:history="1">
        <w:r w:rsidR="00C63981" w:rsidRPr="00776482">
          <w:rPr>
            <w:rStyle w:val="Hipervnculo"/>
            <w:rFonts w:ascii="Times New Roman" w:hAnsi="Times New Roman" w:cs="Times New Roman"/>
            <w:noProof/>
          </w:rPr>
          <w:t>ANTECEDENTES HISTORICOS</w:t>
        </w:r>
        <w:r w:rsidR="00C63981">
          <w:rPr>
            <w:noProof/>
            <w:webHidden/>
          </w:rPr>
          <w:tab/>
        </w:r>
        <w:r w:rsidR="00C63981">
          <w:rPr>
            <w:noProof/>
            <w:webHidden/>
          </w:rPr>
          <w:fldChar w:fldCharType="begin"/>
        </w:r>
        <w:r w:rsidR="00C63981">
          <w:rPr>
            <w:noProof/>
            <w:webHidden/>
          </w:rPr>
          <w:instrText xml:space="preserve"> PAGEREF _Toc15837 \h </w:instrText>
        </w:r>
        <w:r w:rsidR="00C63981">
          <w:rPr>
            <w:noProof/>
            <w:webHidden/>
          </w:rPr>
        </w:r>
        <w:r w:rsidR="00C63981">
          <w:rPr>
            <w:noProof/>
            <w:webHidden/>
          </w:rPr>
          <w:fldChar w:fldCharType="separate"/>
        </w:r>
        <w:r w:rsidR="00C63981">
          <w:rPr>
            <w:noProof/>
            <w:webHidden/>
          </w:rPr>
          <w:t>24</w:t>
        </w:r>
        <w:r w:rsidR="00C63981">
          <w:rPr>
            <w:noProof/>
            <w:webHidden/>
          </w:rPr>
          <w:fldChar w:fldCharType="end"/>
        </w:r>
      </w:hyperlink>
    </w:p>
    <w:p w:rsidR="00C63981" w:rsidRDefault="00866EBC">
      <w:pPr>
        <w:pStyle w:val="TDC2"/>
        <w:tabs>
          <w:tab w:val="right" w:leader="dot" w:pos="8828"/>
        </w:tabs>
        <w:rPr>
          <w:rFonts w:eastAsiaTheme="minorEastAsia"/>
          <w:noProof/>
          <w:lang w:eastAsia="es-AR"/>
        </w:rPr>
      </w:pPr>
      <w:hyperlink w:anchor="_Toc15838" w:history="1">
        <w:r w:rsidR="00C63981" w:rsidRPr="00776482">
          <w:rPr>
            <w:rStyle w:val="Hipervnculo"/>
            <w:rFonts w:ascii="Times New Roman" w:eastAsia="Times New Roman" w:hAnsi="Times New Roman" w:cs="Times New Roman"/>
            <w:noProof/>
          </w:rPr>
          <w:t>ANÁLISIS DE LAS NOTAS EDITORIALES</w:t>
        </w:r>
        <w:r w:rsidR="00C63981">
          <w:rPr>
            <w:noProof/>
            <w:webHidden/>
          </w:rPr>
          <w:tab/>
        </w:r>
        <w:r w:rsidR="00C63981">
          <w:rPr>
            <w:noProof/>
            <w:webHidden/>
          </w:rPr>
          <w:fldChar w:fldCharType="begin"/>
        </w:r>
        <w:r w:rsidR="00C63981">
          <w:rPr>
            <w:noProof/>
            <w:webHidden/>
          </w:rPr>
          <w:instrText xml:space="preserve"> PAGEREF _Toc15838 \h </w:instrText>
        </w:r>
        <w:r w:rsidR="00C63981">
          <w:rPr>
            <w:noProof/>
            <w:webHidden/>
          </w:rPr>
        </w:r>
        <w:r w:rsidR="00C63981">
          <w:rPr>
            <w:noProof/>
            <w:webHidden/>
          </w:rPr>
          <w:fldChar w:fldCharType="separate"/>
        </w:r>
        <w:r w:rsidR="00C63981">
          <w:rPr>
            <w:noProof/>
            <w:webHidden/>
          </w:rPr>
          <w:t>27</w:t>
        </w:r>
        <w:r w:rsidR="00C63981">
          <w:rPr>
            <w:noProof/>
            <w:webHidden/>
          </w:rPr>
          <w:fldChar w:fldCharType="end"/>
        </w:r>
      </w:hyperlink>
    </w:p>
    <w:p w:rsidR="00C63981" w:rsidRDefault="00866EBC">
      <w:pPr>
        <w:pStyle w:val="TDC1"/>
        <w:rPr>
          <w:rFonts w:asciiTheme="minorHAnsi" w:eastAsiaTheme="minorEastAsia" w:hAnsiTheme="minorHAnsi" w:cstheme="minorBidi"/>
          <w:lang w:eastAsia="es-AR"/>
        </w:rPr>
      </w:pPr>
      <w:hyperlink w:anchor="_Toc15839" w:history="1">
        <w:r w:rsidR="00C63981" w:rsidRPr="00776482">
          <w:rPr>
            <w:rStyle w:val="Hipervnculo"/>
          </w:rPr>
          <w:t>REFERENCIAS BIBLIOGRAFICAS:</w:t>
        </w:r>
        <w:r w:rsidR="00C63981">
          <w:rPr>
            <w:webHidden/>
          </w:rPr>
          <w:tab/>
        </w:r>
        <w:r w:rsidR="00C63981">
          <w:rPr>
            <w:webHidden/>
          </w:rPr>
          <w:fldChar w:fldCharType="begin"/>
        </w:r>
        <w:r w:rsidR="00C63981">
          <w:rPr>
            <w:webHidden/>
          </w:rPr>
          <w:instrText xml:space="preserve"> PAGEREF _Toc15839 \h </w:instrText>
        </w:r>
        <w:r w:rsidR="00C63981">
          <w:rPr>
            <w:webHidden/>
          </w:rPr>
        </w:r>
        <w:r w:rsidR="00C63981">
          <w:rPr>
            <w:webHidden/>
          </w:rPr>
          <w:fldChar w:fldCharType="separate"/>
        </w:r>
        <w:r w:rsidR="00C63981">
          <w:rPr>
            <w:webHidden/>
          </w:rPr>
          <w:t>33</w:t>
        </w:r>
        <w:r w:rsidR="00C63981">
          <w:rPr>
            <w:webHidden/>
          </w:rPr>
          <w:fldChar w:fldCharType="end"/>
        </w:r>
      </w:hyperlink>
    </w:p>
    <w:p w:rsidR="00C63981" w:rsidRDefault="00866EBC">
      <w:pPr>
        <w:pStyle w:val="TDC1"/>
        <w:rPr>
          <w:rFonts w:asciiTheme="minorHAnsi" w:eastAsiaTheme="minorEastAsia" w:hAnsiTheme="minorHAnsi" w:cstheme="minorBidi"/>
          <w:lang w:eastAsia="es-AR"/>
        </w:rPr>
      </w:pPr>
      <w:hyperlink w:anchor="_Toc15840" w:history="1">
        <w:r w:rsidR="00C63981" w:rsidRPr="00776482">
          <w:rPr>
            <w:rStyle w:val="Hipervnculo"/>
          </w:rPr>
          <w:t>ANEXO 1</w:t>
        </w:r>
        <w:r w:rsidR="00C63981">
          <w:rPr>
            <w:webHidden/>
          </w:rPr>
          <w:tab/>
        </w:r>
        <w:r w:rsidR="00C63981">
          <w:rPr>
            <w:webHidden/>
          </w:rPr>
          <w:fldChar w:fldCharType="begin"/>
        </w:r>
        <w:r w:rsidR="00C63981">
          <w:rPr>
            <w:webHidden/>
          </w:rPr>
          <w:instrText xml:space="preserve"> PAGEREF _Toc15840 \h </w:instrText>
        </w:r>
        <w:r w:rsidR="00C63981">
          <w:rPr>
            <w:webHidden/>
          </w:rPr>
        </w:r>
        <w:r w:rsidR="00C63981">
          <w:rPr>
            <w:webHidden/>
          </w:rPr>
          <w:fldChar w:fldCharType="separate"/>
        </w:r>
        <w:r w:rsidR="00C63981">
          <w:rPr>
            <w:webHidden/>
          </w:rPr>
          <w:t>37</w:t>
        </w:r>
        <w:r w:rsidR="00C63981">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15831"/>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qué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seleccionados.</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BF3D77"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15832"/>
      <w:r>
        <w:rPr>
          <w:rFonts w:ascii="Times New Roman" w:eastAsia="Times New Roman" w:hAnsi="Times New Roman" w:cs="Times New Roman"/>
          <w:sz w:val="24"/>
          <w:szCs w:val="24"/>
        </w:rPr>
        <w:t>MARCO TEÓRICO</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C34145" w:rsidRPr="00C34145" w:rsidRDefault="007F5D46"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(CITAR)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lastRenderedPageBreak/>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caso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María Matilde Ollier</w:t>
      </w:r>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(Ollier, 2008: 74). Es decir, que a menor </w:t>
      </w:r>
      <w:r w:rsidR="00F5069B">
        <w:rPr>
          <w:rFonts w:ascii="Times New Roman" w:eastAsia="Times New Roman" w:hAnsi="Times New Roman" w:cs="Times New Roman"/>
          <w:sz w:val="24"/>
          <w:szCs w:val="24"/>
        </w:rPr>
        <w:lastRenderedPageBreak/>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(Ollier,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w:t>
      </w:r>
      <w:r>
        <w:rPr>
          <w:rFonts w:ascii="Times New Roman" w:eastAsia="Times New Roman" w:hAnsi="Times New Roman" w:cs="Times New Roman"/>
          <w:sz w:val="24"/>
          <w:szCs w:val="24"/>
        </w:rPr>
        <w:lastRenderedPageBreak/>
        <w:t xml:space="preserve">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(Ollier,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r w:rsidRPr="00935509">
        <w:rPr>
          <w:rFonts w:ascii="Times New Roman" w:eastAsia="Times New Roman" w:hAnsi="Times New Roman" w:cs="Times New Roman"/>
          <w:b/>
          <w:sz w:val="24"/>
          <w:szCs w:val="24"/>
        </w:rPr>
        <w:t>accountability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1"/>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Peruzzotti y Smulovitz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luguismo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stronista hasta la </w:t>
      </w:r>
      <w:r w:rsidRPr="00ED499E">
        <w:rPr>
          <w:rFonts w:ascii="Times New Roman" w:eastAsia="Times New Roman" w:hAnsi="Times New Roman" w:cs="Times New Roman"/>
          <w:sz w:val="24"/>
          <w:szCs w:val="24"/>
        </w:rPr>
        <w:lastRenderedPageBreak/>
        <w:t xml:space="preserve">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reequilibramiento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 xml:space="preserve">sma moneda” (Ollier,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lastRenderedPageBreak/>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cuál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generaran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Peruzzolo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(Gaido,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Rivadaneira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 xml:space="preserve">Sin dejar de lado que la agenda de los medios de </w:t>
      </w:r>
      <w:r w:rsidR="00D85F00">
        <w:rPr>
          <w:rFonts w:ascii="Times New Roman" w:hAnsi="Times New Roman" w:cs="Times New Roman"/>
          <w:sz w:val="24"/>
          <w:szCs w:val="24"/>
          <w:shd w:val="clear" w:color="auto" w:fill="FFFFFF"/>
        </w:rPr>
        <w:lastRenderedPageBreak/>
        <w:t>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(Mendoza Padilla, Elisandro,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aquellos acontecimientos, sucesos o acciones que se dan a conocer 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Ollier (2008) también hace referencia a la noción de “gran escándalo mediático” como uno de los determinantes de una situación de inestabilidad presidencial. “Cuando la </w:t>
      </w:r>
      <w:r>
        <w:rPr>
          <w:rFonts w:ascii="Times New Roman" w:eastAsia="Times New Roman" w:hAnsi="Times New Roman" w:cs="Times New Roman"/>
          <w:sz w:val="24"/>
          <w:szCs w:val="24"/>
        </w:rPr>
        <w:lastRenderedPageBreak/>
        <w:t>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coyuntural tienen su fuente en un acontecimiento singular y engendran en el sistema político una tensión, pero pueden resolverse con decisiones políticas adecuadas o por </w:t>
      </w:r>
      <w:r w:rsidR="00CC27C3" w:rsidRPr="00CC27C3">
        <w:rPr>
          <w:rFonts w:ascii="Times New Roman" w:eastAsia="Times New Roman" w:hAnsi="Times New Roman" w:cs="Times New Roman"/>
          <w:sz w:val="24"/>
          <w:szCs w:val="24"/>
        </w:rPr>
        <w:lastRenderedPageBreak/>
        <w:t>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w:t>
      </w:r>
      <w:r>
        <w:rPr>
          <w:rFonts w:ascii="Times New Roman" w:eastAsia="Times New Roman" w:hAnsi="Times New Roman" w:cs="Times New Roman"/>
          <w:sz w:val="24"/>
          <w:szCs w:val="24"/>
        </w:rPr>
        <w:lastRenderedPageBreak/>
        <w:t xml:space="preserve">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es importante señalar como plantea María Matilde Ollier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15833"/>
      <w:r>
        <w:rPr>
          <w:rFonts w:ascii="Times New Roman" w:hAnsi="Times New Roman" w:cs="Times New Roman"/>
          <w:sz w:val="24"/>
          <w:szCs w:val="24"/>
        </w:rPr>
        <w:t>MARCO METODOLOGICO</w:t>
      </w:r>
      <w:bookmarkEnd w:id="2"/>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350318" w:rsidRPr="004A041D">
        <w:rPr>
          <w:rFonts w:ascii="Times New Roman" w:hAnsi="Times New Roman" w:cs="Times New Roman"/>
          <w:sz w:val="24"/>
          <w:szCs w:val="24"/>
        </w:rPr>
        <w:t xml:space="preserve">el análisis del caso y el análisis comparativo son búsquedas complementarias que se refuerzan entre sí. </w:t>
      </w:r>
      <w:r w:rsidR="00E91B05"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caso relevante. </w:t>
      </w:r>
      <w:r w:rsidR="00E91B05" w:rsidRPr="00930C3A">
        <w:rPr>
          <w:rFonts w:ascii="Times New Roman" w:hAnsi="Times New Roman" w:cs="Times New Roman"/>
          <w:color w:val="FF0000"/>
          <w:sz w:val="24"/>
          <w:szCs w:val="24"/>
        </w:rPr>
        <w:t>Además, en los estudios de un solo caso se evita la necesidad de buscar equivalencias conceptuales y</w:t>
      </w:r>
      <w:r w:rsidR="00320AE9" w:rsidRPr="00930C3A">
        <w:rPr>
          <w:rFonts w:ascii="Times New Roman" w:hAnsi="Times New Roman" w:cs="Times New Roman"/>
          <w:color w:val="FF0000"/>
          <w:sz w:val="24"/>
          <w:szCs w:val="24"/>
        </w:rPr>
        <w:t xml:space="preserve"> también,</w:t>
      </w:r>
      <w:r w:rsidR="00E91B05" w:rsidRPr="00930C3A">
        <w:rPr>
          <w:rFonts w:ascii="Times New Roman" w:hAnsi="Times New Roman" w:cs="Times New Roman"/>
          <w:color w:val="FF0000"/>
          <w:sz w:val="24"/>
          <w:szCs w:val="24"/>
        </w:rPr>
        <w:t xml:space="preserve"> </w:t>
      </w:r>
      <w:r w:rsidR="00320AE9" w:rsidRPr="00930C3A">
        <w:rPr>
          <w:rFonts w:ascii="Times New Roman" w:hAnsi="Times New Roman" w:cs="Times New Roman"/>
          <w:color w:val="FF0000"/>
          <w:sz w:val="24"/>
          <w:szCs w:val="24"/>
        </w:rPr>
        <w:t xml:space="preserve">permite un análisis de mayor profundidad ya que admite tomar en consideración una gran cantidad de propiedades del caso </w:t>
      </w:r>
      <w:r w:rsidR="00320AE9" w:rsidRPr="00930C3A">
        <w:rPr>
          <w:rFonts w:ascii="Times New Roman" w:hAnsi="Times New Roman" w:cs="Times New Roman"/>
          <w:color w:val="FF0000"/>
          <w:sz w:val="24"/>
          <w:szCs w:val="24"/>
        </w:rPr>
        <w:lastRenderedPageBreak/>
        <w:t>y analizarlas en la compleja red de interrelaciones que conforman al fenómeno analizado (Bartolini, 1975).</w:t>
      </w:r>
      <w:r w:rsidR="00930C3A">
        <w:rPr>
          <w:rFonts w:ascii="Times New Roman" w:hAnsi="Times New Roman" w:cs="Times New Roman"/>
          <w:color w:val="FF0000"/>
          <w:sz w:val="24"/>
          <w:szCs w:val="24"/>
        </w:rPr>
        <w:t xml:space="preserve"> (revisar redacción)</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4A041D"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4A041D">
        <w:rPr>
          <w:rFonts w:ascii="Times New Roman" w:eastAsia="Times New Roman" w:hAnsi="Times New Roman" w:cs="Times New Roman"/>
          <w:sz w:val="24"/>
          <w:szCs w:val="24"/>
          <w:lang w:eastAsia="es-AR"/>
        </w:rPr>
        <w:t>En cuanto al alcance espacial de la comparación, que está fuertemente relacionado a la definición jurídico/estatal, el trabajo se realizará a partir de</w:t>
      </w:r>
      <w:r w:rsidR="004A041D" w:rsidRPr="004A041D">
        <w:rPr>
          <w:rFonts w:ascii="Times New Roman" w:eastAsia="Times New Roman" w:hAnsi="Times New Roman" w:cs="Times New Roman"/>
          <w:sz w:val="24"/>
          <w:szCs w:val="24"/>
          <w:lang w:eastAsia="es-AR"/>
        </w:rPr>
        <w:t>l estudio de un caso nacional, en este caso</w:t>
      </w:r>
      <w:r w:rsidRPr="004A041D">
        <w:rPr>
          <w:rFonts w:ascii="Times New Roman" w:eastAsia="Times New Roman" w:hAnsi="Times New Roman" w:cs="Times New Roman"/>
          <w:sz w:val="24"/>
          <w:szCs w:val="24"/>
          <w:lang w:eastAsia="es-AR"/>
        </w:rPr>
        <w:t xml:space="preserve"> Paraguay, perteneciente a Latinoamérica</w:t>
      </w:r>
      <w:r w:rsidR="004A041D" w:rsidRPr="004A041D">
        <w:rPr>
          <w:rFonts w:ascii="Times New Roman" w:eastAsia="Times New Roman" w:hAnsi="Times New Roman" w:cs="Times New Roman"/>
          <w:sz w:val="24"/>
          <w:szCs w:val="24"/>
          <w:lang w:eastAsia="es-AR"/>
        </w:rPr>
        <w:t xml:space="preserve">, en el cual se compararán dos medios de comunicación </w:t>
      </w:r>
      <w:r w:rsidR="004A041D">
        <w:rPr>
          <w:rFonts w:ascii="Times New Roman" w:eastAsia="Times New Roman" w:hAnsi="Times New Roman" w:cs="Times New Roman"/>
          <w:sz w:val="24"/>
          <w:szCs w:val="24"/>
          <w:lang w:eastAsia="es-AR"/>
        </w:rPr>
        <w:t xml:space="preserve">importantes en el país como son Ultima Hora y ABC Color. </w:t>
      </w:r>
      <w:r w:rsidRPr="00ED499E">
        <w:rPr>
          <w:rFonts w:ascii="Times New Roman" w:eastAsia="Times New Roman" w:hAnsi="Times New Roman" w:cs="Times New Roman"/>
          <w:color w:val="FF0000"/>
          <w:sz w:val="24"/>
          <w:szCs w:val="24"/>
          <w:lang w:eastAsia="es-AR"/>
        </w:rPr>
        <w:t xml:space="preserve">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w:t>
      </w:r>
      <w:r w:rsidR="002901F6">
        <w:rPr>
          <w:rFonts w:ascii="Times New Roman" w:eastAsia="Times New Roman" w:hAnsi="Times New Roman" w:cs="Times New Roman"/>
          <w:sz w:val="24"/>
          <w:szCs w:val="24"/>
          <w:lang w:eastAsia="es-AR"/>
        </w:rPr>
        <w:t xml:space="preserve">en un mismo período de tiempo. </w:t>
      </w:r>
      <w:r w:rsidRPr="002901F6">
        <w:rPr>
          <w:rFonts w:ascii="Times New Roman" w:eastAsia="Times New Roman" w:hAnsi="Times New Roman" w:cs="Times New Roman"/>
          <w:sz w:val="24"/>
          <w:szCs w:val="24"/>
          <w:lang w:eastAsia="es-AR"/>
        </w:rPr>
        <w:t xml:space="preserve">Poder delimitar el fenómeno en ambos casos, permitirá demarcar el inicio y el fin del fenómeno que construye la dimensión temporal de la comparación. </w:t>
      </w:r>
    </w:p>
    <w:p w:rsidR="00B00416" w:rsidRDefault="00837C4D"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Este trabajo se sostiene sobre una metodología cualitativa en la que además de analizar la bibliografía pertinente sobre el tema y estudiar la historia política paraguaya, se ha realizado </w:t>
      </w:r>
      <w:r>
        <w:rPr>
          <w:rFonts w:ascii="Times New Roman" w:eastAsia="Times New Roman" w:hAnsi="Times New Roman" w:cs="Times New Roman"/>
          <w:sz w:val="24"/>
          <w:szCs w:val="24"/>
          <w:lang w:eastAsia="es-AR"/>
        </w:rPr>
        <w:lastRenderedPageBreak/>
        <w:t xml:space="preserve">un análisis crítico de los discursos esgrimidos de forma escrita por los medios de comunicación seleccionados en sus páginas web oficiales. </w:t>
      </w:r>
    </w:p>
    <w:p w:rsidR="003A684D" w:rsidRDefault="00630252"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Para 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(Gaido, 2007)</w:t>
      </w:r>
    </w:p>
    <w:p w:rsidR="009601CE" w:rsidRPr="009601CE" w:rsidRDefault="009601CE" w:rsidP="009601CE">
      <w:pPr>
        <w:widowControl w:val="0"/>
        <w:pBdr>
          <w:top w:val="nil"/>
          <w:left w:val="nil"/>
          <w:bottom w:val="nil"/>
          <w:right w:val="nil"/>
          <w:between w:val="nil"/>
        </w:pBdr>
        <w:spacing w:before="240" w:after="0" w:line="360" w:lineRule="auto"/>
        <w:jc w:val="both"/>
        <w:rPr>
          <w:rFonts w:ascii="Times New Roman" w:eastAsia="Times New Roman" w:hAnsi="Times New Roman" w:cs="Times New Roman"/>
          <w:sz w:val="24"/>
          <w:szCs w:val="24"/>
          <w:lang w:eastAsia="es-AR"/>
        </w:rPr>
      </w:pP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Pr="00B00416" w:rsidRDefault="00A87612" w:rsidP="00A87612">
      <w:pPr>
        <w:spacing w:line="360" w:lineRule="auto"/>
        <w:jc w:val="both"/>
        <w:rPr>
          <w:rFonts w:ascii="Times New Roman" w:hAnsi="Times New Roman" w:cs="Times New Roman"/>
          <w:b/>
          <w:sz w:val="24"/>
          <w:szCs w:val="24"/>
        </w:rPr>
      </w:pPr>
    </w:p>
    <w:p w:rsidR="000D3DF0" w:rsidRPr="00A87612" w:rsidRDefault="00D5289F" w:rsidP="00A87612">
      <w:pPr>
        <w:pStyle w:val="Ttulo1"/>
        <w:rPr>
          <w:rFonts w:ascii="Times New Roman" w:eastAsia="Times New Roman" w:hAnsi="Times New Roman" w:cs="Times New Roman"/>
          <w:sz w:val="24"/>
          <w:szCs w:val="24"/>
          <w:u w:val="single"/>
        </w:rPr>
      </w:pPr>
      <w:bookmarkStart w:id="3" w:name="_Toc15834"/>
      <w:r w:rsidRPr="00A87612">
        <w:rPr>
          <w:rFonts w:ascii="Times New Roman" w:eastAsia="Times New Roman" w:hAnsi="Times New Roman" w:cs="Times New Roman"/>
          <w:sz w:val="24"/>
          <w:szCs w:val="24"/>
          <w:u w:val="single"/>
        </w:rPr>
        <w:lastRenderedPageBreak/>
        <w:t>ANÁLISIS DE LOS CASOS</w:t>
      </w:r>
      <w:bookmarkEnd w:id="3"/>
    </w:p>
    <w:p w:rsidR="00A87612" w:rsidRPr="00A87612" w:rsidRDefault="00A87612" w:rsidP="00A87612"/>
    <w:p w:rsidR="000D3DF0" w:rsidRDefault="000D3DF0" w:rsidP="00E95615">
      <w:pPr>
        <w:pStyle w:val="Ttulo2"/>
        <w:rPr>
          <w:rFonts w:ascii="Times New Roman" w:hAnsi="Times New Roman" w:cs="Times New Roman"/>
          <w:sz w:val="24"/>
          <w:szCs w:val="24"/>
        </w:rPr>
      </w:pPr>
      <w:bookmarkStart w:id="4" w:name="_Toc15835"/>
      <w:r w:rsidRPr="00935509">
        <w:rPr>
          <w:rFonts w:ascii="Times New Roman" w:hAnsi="Times New Roman" w:cs="Times New Roman"/>
          <w:sz w:val="24"/>
          <w:szCs w:val="24"/>
        </w:rPr>
        <w:t>JUSTIFICACIONES EN LA ELECCIÓN DE LOS MEDIOS:</w:t>
      </w:r>
      <w:bookmarkEnd w:id="4"/>
      <w:r w:rsidRPr="00935509">
        <w:rPr>
          <w:rFonts w:ascii="Times New Roman" w:hAnsi="Times New Roman" w:cs="Times New Roman"/>
          <w:sz w:val="24"/>
          <w:szCs w:val="24"/>
        </w:rPr>
        <w:t xml:space="preserve"> </w:t>
      </w:r>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r w:rsidRPr="00935509">
        <w:rPr>
          <w:rFonts w:ascii="Times New Roman" w:hAnsi="Times New Roman" w:cs="Times New Roman"/>
          <w:sz w:val="24"/>
          <w:szCs w:val="24"/>
        </w:rPr>
        <w:t xml:space="preserve">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Zucolillo </w:t>
      </w:r>
      <w:r w:rsidR="003C0FE0" w:rsidRPr="006C0026">
        <w:rPr>
          <w:rFonts w:ascii="Times New Roman" w:hAnsi="Times New Roman" w:cs="Times New Roman"/>
          <w:sz w:val="24"/>
          <w:szCs w:val="24"/>
        </w:rPr>
        <w:t xml:space="preserve">maneja varias empresas, entre ellas Financiera Atlas SA, Constructora Atlas SA, Ferretería Americana SA, Shoping Mcal. López, estaciones de servicio ZUSA, Inmobiliaria del Este, Tabacalera Pety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w:t>
      </w:r>
      <w:r w:rsidR="00710D0C">
        <w:rPr>
          <w:rFonts w:ascii="Times New Roman" w:hAnsi="Times New Roman" w:cs="Times New Roman"/>
          <w:sz w:val="24"/>
          <w:szCs w:val="24"/>
        </w:rPr>
        <w:lastRenderedPageBreak/>
        <w:t>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mo Stock, Superseis, Burger King</w:t>
      </w:r>
      <w:r w:rsidR="00225877">
        <w:rPr>
          <w:rFonts w:ascii="Times New Roman" w:hAnsi="Times New Roman" w:cs="Times New Roman"/>
          <w:sz w:val="24"/>
          <w:szCs w:val="24"/>
        </w:rPr>
        <w:t xml:space="preserve">, BabyCottons,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“E’a” y el sitio “Paraguay Global”</w:t>
      </w:r>
      <w:r w:rsidR="002C2EA8">
        <w:rPr>
          <w:rFonts w:ascii="Times New Roman" w:hAnsi="Times New Roman" w:cs="Times New Roman"/>
          <w:sz w:val="24"/>
          <w:szCs w:val="24"/>
        </w:rPr>
        <w:t xml:space="preserve">.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15836"/>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Contralor General de la Republica, el Subcontralor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la Cámara de Diputados y, en su caso, declararlos culpables, </w:t>
      </w:r>
      <w:r w:rsidRPr="008062AB">
        <w:rPr>
          <w:rFonts w:ascii="Times New Roman" w:hAnsi="Times New Roman" w:cs="Times New Roman"/>
          <w:sz w:val="24"/>
          <w:szCs w:val="24"/>
        </w:rPr>
        <w:lastRenderedPageBreak/>
        <w:t>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A87612">
      <w:pPr>
        <w:pStyle w:val="Ttulo2"/>
        <w:rPr>
          <w:rFonts w:ascii="Times New Roman" w:hAnsi="Times New Roman" w:cs="Times New Roman"/>
          <w:sz w:val="24"/>
          <w:szCs w:val="24"/>
        </w:rPr>
      </w:pPr>
      <w:bookmarkStart w:id="6" w:name="_Toc15837"/>
      <w:r>
        <w:rPr>
          <w:rFonts w:ascii="Times New Roman" w:hAnsi="Times New Roman" w:cs="Times New Roman"/>
          <w:sz w:val="24"/>
          <w:szCs w:val="24"/>
        </w:rPr>
        <w:t>ANTECEDENTES HISTORICOS</w:t>
      </w:r>
      <w:bookmarkEnd w:id="6"/>
      <w:r>
        <w:rPr>
          <w:rFonts w:ascii="Times New Roman" w:hAnsi="Times New Roman" w:cs="Times New Roman"/>
          <w:sz w:val="24"/>
          <w:szCs w:val="24"/>
        </w:rPr>
        <w:t xml:space="preserve">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w:t>
      </w:r>
      <w:r w:rsidR="005A27A2">
        <w:rPr>
          <w:rFonts w:ascii="Times New Roman" w:hAnsi="Times New Roman" w:cs="Times New Roman"/>
          <w:sz w:val="24"/>
          <w:szCs w:val="24"/>
        </w:rPr>
        <w:lastRenderedPageBreak/>
        <w:t>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lastRenderedPageBreak/>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7" w:name="_gjdgxs" w:colFirst="0" w:colLast="0"/>
      <w:bookmarkEnd w:id="7"/>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lastRenderedPageBreak/>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C63981">
      <w:pPr>
        <w:pStyle w:val="Ttulo2"/>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bookmarkStart w:id="8" w:name="_Toc15838"/>
      <w:r>
        <w:rPr>
          <w:rFonts w:ascii="Times New Roman" w:eastAsia="Times New Roman" w:hAnsi="Times New Roman" w:cs="Times New Roman"/>
          <w:sz w:val="24"/>
          <w:szCs w:val="24"/>
        </w:rPr>
        <w:t>ANÁLISIS DE LAS NOTAS EDITORIALES</w:t>
      </w:r>
      <w:bookmarkEnd w:id="8"/>
    </w:p>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2"/>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que se utilizarán en el análisis 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Fernando Lugo durante su gestión a la hora de llevar adelante sus promesas de campaña y dar respuestas a problemas que se le iban presentando durante su gobierno. Para el diario Ultima Hora, Lugo</w:t>
      </w:r>
      <w:r w:rsidR="00A91E05">
        <w:rPr>
          <w:rFonts w:ascii="Times New Roman" w:eastAsia="Times New Roman" w:hAnsi="Times New Roman" w:cs="Times New Roman"/>
          <w:sz w:val="24"/>
          <w:szCs w:val="24"/>
        </w:rPr>
        <w:t>,</w:t>
      </w:r>
      <w:r w:rsidR="00B367D4">
        <w:rPr>
          <w:rFonts w:ascii="Times New Roman" w:eastAsia="Times New Roman" w:hAnsi="Times New Roman" w:cs="Times New Roman"/>
          <w:sz w:val="24"/>
          <w:szCs w:val="24"/>
        </w:rPr>
        <w:t xml:space="preserve"> </w:t>
      </w:r>
      <w:r w:rsidR="00711AEF">
        <w:rPr>
          <w:rFonts w:ascii="Times New Roman" w:eastAsia="Times New Roman" w:hAnsi="Times New Roman" w:cs="Times New Roman"/>
          <w:sz w:val="24"/>
          <w:szCs w:val="24"/>
        </w:rPr>
        <w:t>durante su gesti</w:t>
      </w:r>
      <w:r w:rsidR="00BF2BAF">
        <w:rPr>
          <w:rFonts w:ascii="Times New Roman" w:eastAsia="Times New Roman" w:hAnsi="Times New Roman" w:cs="Times New Roman"/>
          <w:sz w:val="24"/>
          <w:szCs w:val="24"/>
        </w:rPr>
        <w:t>ón</w:t>
      </w:r>
      <w:r w:rsidR="00711AEF">
        <w:rPr>
          <w:rFonts w:ascii="Times New Roman" w:eastAsia="Times New Roman" w:hAnsi="Times New Roman" w:cs="Times New Roman"/>
          <w:sz w:val="24"/>
          <w:szCs w:val="24"/>
        </w:rPr>
        <w:t xml:space="preserve"> se caracteriz</w:t>
      </w:r>
      <w:r w:rsidR="009C0C39">
        <w:rPr>
          <w:rFonts w:ascii="Times New Roman" w:eastAsia="Times New Roman" w:hAnsi="Times New Roman" w:cs="Times New Roman"/>
          <w:sz w:val="24"/>
          <w:szCs w:val="24"/>
        </w:rPr>
        <w:t>ó por su inacción y su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acciones </w:t>
      </w:r>
      <w:r w:rsidR="0066271D">
        <w:rPr>
          <w:rFonts w:ascii="Times New Roman" w:eastAsia="Times New Roman" w:hAnsi="Times New Roman" w:cs="Times New Roman"/>
          <w:sz w:val="24"/>
          <w:szCs w:val="24"/>
        </w:rPr>
        <w:t>necesarias para resolver aquellos problemas que aquejaban a la población paraguaya. Sin embargo, ya sea por incapacidad, indiferencia o simplemente destinterés, esto nunca sucedió. 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w:t>
      </w:r>
      <w:r w:rsidR="000A1C09">
        <w:rPr>
          <w:rFonts w:ascii="Times New Roman" w:eastAsia="Times New Roman" w:hAnsi="Times New Roman" w:cs="Times New Roman"/>
          <w:sz w:val="24"/>
          <w:szCs w:val="24"/>
        </w:rPr>
        <w:lastRenderedPageBreak/>
        <w:t xml:space="preserve">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p>
    <w:p w:rsidR="000A1C09"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Ultima Hora</w:t>
      </w:r>
      <w:r w:rsidRPr="006C04ED">
        <w:rPr>
          <w:rFonts w:ascii="Times New Roman" w:eastAsia="Times New Roman" w:hAnsi="Times New Roman" w:cs="Times New Roman"/>
          <w:sz w:val="24"/>
          <w:szCs w:val="24"/>
        </w:rPr>
        <w:t xml:space="preserve"> formula que muchas veces el presidente Lugo se queda en “simples retóricas de discurso vacíos”, es decir, </w:t>
      </w:r>
      <w:r>
        <w:rPr>
          <w:rFonts w:ascii="Times New Roman" w:eastAsia="Times New Roman" w:hAnsi="Times New Roman" w:cs="Times New Roman"/>
          <w:sz w:val="24"/>
          <w:szCs w:val="24"/>
        </w:rPr>
        <w:t xml:space="preserve">que muchas cuestiones que menciona en sus discursos no las cumple ya sea porque no sabe cómo resolverlas o porque nunca tuvo intenciones concretas de realizarlas. </w:t>
      </w:r>
      <w:r w:rsidR="00792416">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 </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Además que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para ambos medios de comunicación Fernando Lugo se caracterizó por su inacción y su incapacidad a la hora de actuar en pos de encontrar y llevar a cabo  las mejores soluciones ante los problemas que aquejaban al país. Esto lo coloca en una débil posición </w:t>
      </w:r>
      <w:r>
        <w:rPr>
          <w:rFonts w:ascii="Times New Roman" w:eastAsia="Times New Roman" w:hAnsi="Times New Roman" w:cs="Times New Roman"/>
          <w:sz w:val="24"/>
          <w:szCs w:val="24"/>
        </w:rPr>
        <w:lastRenderedPageBreak/>
        <w:t>ante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611730" w:rsidRDefault="006D13A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otra variable interesante para observar corresponde a la manera en la cual ambos diarios </w:t>
      </w:r>
      <w:r w:rsidRPr="006C150D">
        <w:rPr>
          <w:rFonts w:ascii="Times New Roman" w:eastAsia="Times New Roman" w:hAnsi="Times New Roman" w:cs="Times New Roman"/>
          <w:i/>
          <w:sz w:val="24"/>
          <w:szCs w:val="24"/>
        </w:rPr>
        <w:t>definen</w:t>
      </w:r>
      <w:r>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B94312">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ojo en el pasado y otro en el presente”, en una batalla constante con los hechos y las consecuencias durante los gobiernos colorados. 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6C150D" w:rsidRPr="00CB7374"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De esta manera, se percibe la importancia del mérito y la tecnicidad política para este diario, por ende, si se tiene presente la falta de experiencia del ex presidente en la administración pública, se podría percibir que este medio nunca vio con buenos ojos la llegada de un ex líder religioso al poder. </w:t>
      </w:r>
      <w:r w:rsidRPr="002D40B2">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w:t>
      </w:r>
      <w:r>
        <w:rPr>
          <w:rFonts w:ascii="Times New Roman" w:eastAsia="Times New Roman" w:hAnsi="Times New Roman" w:cs="Times New Roman"/>
          <w:sz w:val="24"/>
          <w:szCs w:val="24"/>
        </w:rPr>
        <w:t xml:space="preserve"> (Ultima Hora, 4/04/2010). Esta ineficacia y falta de conocimiento sobre los verdaderos problemas que aquejan al Paraguay se menciona de manera directa o indirecta en áreas </w:t>
      </w:r>
      <w:r>
        <w:rPr>
          <w:rFonts w:ascii="Times New Roman" w:eastAsia="Times New Roman" w:hAnsi="Times New Roman" w:cs="Times New Roman"/>
          <w:sz w:val="24"/>
          <w:szCs w:val="24"/>
        </w:rPr>
        <w:lastRenderedPageBreak/>
        <w:t xml:space="preserve">diversas como la salud, la educación, la seguridad, la política exterior y la administración pública. </w:t>
      </w:r>
      <w:r w:rsidRPr="00CB7374">
        <w:rPr>
          <w:rFonts w:ascii="Times New Roman" w:eastAsia="Times New Roman" w:hAnsi="Times New Roman" w:cs="Times New Roman"/>
          <w:sz w:val="24"/>
          <w:szCs w:val="24"/>
        </w:rPr>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2312B7" w:rsidRDefault="001C53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ABC Color a Lugo se lo menciona 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A606C"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956A69">
        <w:rPr>
          <w:rFonts w:ascii="Times New Roman" w:eastAsia="Times New Roman" w:hAnsi="Times New Roman" w:cs="Times New Roman"/>
          <w:sz w:val="24"/>
          <w:szCs w:val="24"/>
        </w:rPr>
        <w:t>. Este punto es fundamental en el análisis que compete a este medio ya que, durante todo el recorte temporal en cuanto a la observación de las notas editoriales, en casi todas se hacía una mención de manera directa o indirecta en relación con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bajo la férula “castro chavista” o también llamada “chavismo marxismo bolivariano” atentan contra la libertad, la libertad de prensa, la propiedad privada y la democracia representativa. Es por ello </w:t>
      </w:r>
      <w:r w:rsidR="00606DF4">
        <w:rPr>
          <w:rFonts w:ascii="Times New Roman" w:eastAsia="Times New Roman" w:hAnsi="Times New Roman" w:cs="Times New Roman"/>
          <w:sz w:val="24"/>
          <w:szCs w:val="24"/>
        </w:rPr>
        <w:t>por lo que</w:t>
      </w:r>
      <w:r w:rsidR="00DF740D">
        <w:rPr>
          <w:rFonts w:ascii="Times New Roman" w:eastAsia="Times New Roman" w:hAnsi="Times New Roman" w:cs="Times New Roman"/>
          <w:sz w:val="24"/>
          <w:szCs w:val="24"/>
        </w:rPr>
        <w:t>,</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 </w:t>
      </w:r>
      <w:r w:rsidR="00DF740D">
        <w:rPr>
          <w:rFonts w:ascii="Times New Roman" w:eastAsia="Times New Roman" w:hAnsi="Times New Roman" w:cs="Times New Roman"/>
          <w:sz w:val="24"/>
          <w:szCs w:val="24"/>
        </w:rPr>
        <w:t xml:space="preserve">Sin embargo, ningún acontecimiento o acción por parte del gobierno del ex </w:t>
      </w:r>
      <w:r w:rsidR="00DF740D">
        <w:rPr>
          <w:rFonts w:ascii="Times New Roman" w:eastAsia="Times New Roman" w:hAnsi="Times New Roman" w:cs="Times New Roman"/>
          <w:sz w:val="24"/>
          <w:szCs w:val="24"/>
        </w:rPr>
        <w:lastRenderedPageBreak/>
        <w:t>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 xml:space="preserve">notar, cómo el diario, al principio, de manera sutil e indirecta va intentando instalar la idea de que Lugo desea lograr una reelección presidencial (para ello se deberá reformar la constitución paraguaya ya que la misma no contempla la </w:t>
      </w:r>
      <w:r w:rsidR="001B6C5C">
        <w:rPr>
          <w:rFonts w:ascii="Times New Roman" w:eastAsia="Times New Roman" w:hAnsi="Times New Roman" w:cs="Times New Roman"/>
          <w:sz w:val="24"/>
          <w:szCs w:val="24"/>
        </w:rPr>
        <w:t>reelección</w:t>
      </w:r>
      <w:r w:rsidR="002312B7">
        <w:rPr>
          <w:rFonts w:ascii="Times New Roman" w:eastAsia="Times New Roman" w:hAnsi="Times New Roman" w:cs="Times New Roman"/>
          <w:sz w:val="24"/>
          <w:szCs w:val="24"/>
        </w:rPr>
        <w:t xml:space="preserve"> del presidente) con todo lo que implicaría para la ciudadanía en cuanto a la imagen pública del presidente en ese entonces y su “respeto” a las leyes constitucionales. </w:t>
      </w:r>
    </w:p>
    <w:p w:rsidR="000E2CAB" w:rsidRDefault="0020505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para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w:t>
      </w:r>
      <w:r w:rsidR="00DB4530">
        <w:rPr>
          <w:rFonts w:ascii="Times New Roman" w:eastAsia="Times New Roman" w:hAnsi="Times New Roman" w:cs="Times New Roman"/>
          <w:sz w:val="24"/>
          <w:szCs w:val="24"/>
        </w:rPr>
        <w:t>,</w:t>
      </w:r>
      <w:r w:rsidR="000E2CAB">
        <w:rPr>
          <w:rFonts w:ascii="Times New Roman" w:eastAsia="Times New Roman" w:hAnsi="Times New Roman" w:cs="Times New Roman"/>
          <w:sz w:val="24"/>
          <w:szCs w:val="24"/>
        </w:rPr>
        <w:t xml:space="preserve"> este cambio tan esperado para la sociedad paraguaya, sólo les llegó a Lugo y su entorno</w:t>
      </w:r>
      <w:r w:rsidR="00DB4530">
        <w:rPr>
          <w:rFonts w:ascii="Times New Roman" w:eastAsia="Times New Roman" w:hAnsi="Times New Roman" w:cs="Times New Roman"/>
          <w:sz w:val="24"/>
          <w:szCs w:val="24"/>
        </w:rPr>
        <w:t xml:space="preserve"> y nada de las cosas que se prometieron en la campaña se cumplieron en la actualidad, como por ejemplo, la reforma agraria, la corrupción, el nepotismo y el clientelismo político.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que lo había apoyado con su voto en respuesta al desgaste y los continuos desaciertos de los anteriores líderes colorados en la presidencia. </w:t>
      </w:r>
      <w:r w:rsidR="006A6232">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sidR="006A6232">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que ambos medios jugaron un papel fundamental y casi determinante en la posterior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2371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analizadas corresponde a la </w:t>
      </w:r>
      <w:r w:rsidRPr="00237130">
        <w:rPr>
          <w:rFonts w:ascii="Times New Roman" w:eastAsia="Times New Roman" w:hAnsi="Times New Roman" w:cs="Times New Roman"/>
          <w:i/>
          <w:sz w:val="24"/>
          <w:szCs w:val="24"/>
        </w:rPr>
        <w:t>periodicidad de las publicaciones</w:t>
      </w:r>
      <w:r>
        <w:rPr>
          <w:rFonts w:ascii="Times New Roman" w:eastAsia="Times New Roman" w:hAnsi="Times New Roman" w:cs="Times New Roman"/>
          <w:i/>
          <w:sz w:val="24"/>
          <w:szCs w:val="24"/>
        </w:rPr>
        <w:t xml:space="preserve"> </w:t>
      </w:r>
      <w:r w:rsidRPr="00237130">
        <w:rPr>
          <w:rFonts w:ascii="Times New Roman" w:eastAsia="Times New Roman" w:hAnsi="Times New Roman" w:cs="Times New Roman"/>
          <w:sz w:val="24"/>
          <w:szCs w:val="24"/>
        </w:rPr>
        <w:t>en las que Lugo es protagonista o se consideró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w:t>
      </w:r>
      <w:r w:rsidRPr="00237130">
        <w:rPr>
          <w:rFonts w:ascii="Times New Roman" w:eastAsia="Times New Roman" w:hAnsi="Times New Roman" w:cs="Times New Roman"/>
          <w:sz w:val="24"/>
          <w:szCs w:val="24"/>
        </w:rPr>
        <w:t xml:space="preserve">diario ABC Color </w:t>
      </w:r>
      <w:r>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 por ende,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lastRenderedPageBreak/>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Itaipú </w:t>
      </w:r>
      <w:r w:rsidR="00113E85">
        <w:rPr>
          <w:rFonts w:ascii="Times New Roman" w:eastAsia="Times New Roman" w:hAnsi="Times New Roman" w:cs="Times New Roman"/>
          <w:sz w:val="24"/>
          <w:szCs w:val="24"/>
        </w:rPr>
        <w:t xml:space="preserve">y Yaciretá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9D56E4" w:rsidRPr="00237130"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xml:space="preserve">. Este es uno de los puntos de diferencia fundamentales con el diario ABC Color ya que, durante el </w:t>
      </w:r>
      <w:r w:rsidR="00CC5C05">
        <w:rPr>
          <w:rFonts w:ascii="Times New Roman" w:eastAsia="Times New Roman" w:hAnsi="Times New Roman" w:cs="Times New Roman"/>
          <w:sz w:val="24"/>
          <w:szCs w:val="24"/>
        </w:rPr>
        <w:lastRenderedPageBreak/>
        <w:t>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bookmarkStart w:id="9" w:name="_GoBack"/>
      <w:bookmarkEnd w:id="9"/>
      <w:r w:rsidR="00CC5C05">
        <w:rPr>
          <w:rFonts w:ascii="Times New Roman" w:eastAsia="Times New Roman" w:hAnsi="Times New Roman" w:cs="Times New Roman"/>
          <w:sz w:val="24"/>
          <w:szCs w:val="24"/>
        </w:rPr>
        <w:t xml:space="preserve"> </w:t>
      </w:r>
    </w:p>
    <w:p w:rsidR="00BA606C" w:rsidRDefault="00BA606C" w:rsidP="00482A90">
      <w:pPr>
        <w:spacing w:line="360" w:lineRule="auto"/>
        <w:jc w:val="both"/>
        <w:rPr>
          <w:rFonts w:ascii="Times New Roman" w:eastAsia="Times New Roman" w:hAnsi="Times New Roman" w:cs="Times New Roman"/>
          <w:sz w:val="24"/>
          <w:szCs w:val="24"/>
        </w:rPr>
      </w:pPr>
    </w:p>
    <w:p w:rsidR="00BA606C" w:rsidRDefault="00BA60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Tono de la editorial “prescriptivo”: este componente del enunciado guarda una relación directa con el “orden del deber, del orden de la necesidad deontológica. Esta necesidad aparece coomo un imperativo universal, de carácter impersonal. “El enunciado de la regla puede también cobrar la forma de un principio impersonal, sin que el enunciador busque articularse explícitamente a la legitimidad de esa regla en cuestión. </w:t>
      </w:r>
    </w:p>
    <w:p w:rsidR="00BA606C" w:rsidRDefault="00BA606C" w:rsidP="00482A90">
      <w:pPr>
        <w:spacing w:line="360" w:lineRule="auto"/>
        <w:jc w:val="both"/>
        <w:rPr>
          <w:rFonts w:ascii="Times New Roman" w:eastAsia="Times New Roman" w:hAnsi="Times New Roman" w:cs="Times New Roman"/>
          <w:sz w:val="24"/>
          <w:szCs w:val="24"/>
        </w:rPr>
      </w:pPr>
    </w:p>
    <w:p w:rsidR="00BA606C" w:rsidRDefault="00BA60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Tono Programático: “En este componente se manifiesta el peso de los fantasmas del futuro en el discurso político: es aquí que el hombre político promete, anuncia, se compromete. El comportamiento programáticose caracteriza por el predominio de las formas verbales en infinitivo y, naturalmente, en futuro: el infinitivo puede ser reemplazado por nominalizaciones. El componente programático es del orden del poder hacer. </w:t>
      </w:r>
      <w:r w:rsidR="00B342A7">
        <w:rPr>
          <w:rFonts w:ascii="Times New Roman" w:eastAsia="Times New Roman" w:hAnsi="Times New Roman" w:cs="Times New Roman"/>
          <w:sz w:val="24"/>
          <w:szCs w:val="24"/>
        </w:rPr>
        <w:t xml:space="preserve">(pag. 53) Verón </w:t>
      </w: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Pr="00F2046F" w:rsidRDefault="00F2046F" w:rsidP="00482A90">
      <w:pPr>
        <w:spacing w:line="360" w:lineRule="auto"/>
        <w:jc w:val="both"/>
        <w:rPr>
          <w:rFonts w:ascii="Times New Roman" w:eastAsia="Times New Roman" w:hAnsi="Times New Roman" w:cs="Times New Roman"/>
          <w:sz w:val="24"/>
          <w:szCs w:val="24"/>
          <w:u w:val="single"/>
        </w:rPr>
      </w:pPr>
      <w:r w:rsidRPr="00F2046F">
        <w:rPr>
          <w:rFonts w:ascii="Times New Roman" w:eastAsia="Times New Roman" w:hAnsi="Times New Roman" w:cs="Times New Roman"/>
          <w:sz w:val="24"/>
          <w:szCs w:val="24"/>
          <w:u w:val="single"/>
        </w:rPr>
        <w:t>Estructura de análisis</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1º: describir un poco las variables del cuaderno de registro: acción, definición, valoración, tono, periodicidad de las publicaciones, temas, título.</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2º. Ver de qué manera analizaron los hechos establecidos en el libelo acusatorio (va a ser más del diario última hora, ya que no cuento con la información del diario ABC Color en algunos casos). Ver la cuestión de la economía y la teoría del aislamiento que plantea Ollier. </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Analizar la idea del escándalo político, o mediático y si tuvo incidencia concreta en la determinación del proceso de juicio político de Lugo. </w:t>
      </w:r>
    </w:p>
    <w:p w:rsidR="00F2046F" w:rsidRPr="009D5614"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4º. Conclusiones: si los medios fueron determinantes o no, o si en realidad fueron el nexo mediante el cual otros actores políticos en función de determinados intereses aprovecharon el contexto económico y político social problemático que estaba atravesando Lugo para llevar adelante el proceso. </w:t>
      </w: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veridictiva de Leonor Arfuch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w:t>
      </w:r>
      <w:r w:rsidR="00854EC0">
        <w:rPr>
          <w:rFonts w:ascii="Times New Roman" w:hAnsi="Times New Roman" w:cs="Times New Roman"/>
          <w:color w:val="1F3864" w:themeColor="accent5" w:themeShade="80"/>
          <w:sz w:val="24"/>
          <w:szCs w:val="24"/>
        </w:rPr>
        <w:lastRenderedPageBreak/>
        <w:t xml:space="preserve">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0" w:name="_Toc15839"/>
      <w:r w:rsidRPr="001A4DCA">
        <w:rPr>
          <w:rFonts w:ascii="Times New Roman" w:hAnsi="Times New Roman" w:cs="Times New Roman"/>
          <w:sz w:val="24"/>
          <w:szCs w:val="24"/>
        </w:rPr>
        <w:t>REFERENCIAS BIBLIOGRAFICAS:</w:t>
      </w:r>
      <w:bookmarkEnd w:id="10"/>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w:t>
      </w:r>
      <w:r w:rsidRPr="001A4DCA">
        <w:rPr>
          <w:rFonts w:ascii="Times New Roman" w:hAnsi="Times New Roman" w:cs="Times New Roman"/>
          <w:sz w:val="24"/>
          <w:szCs w:val="24"/>
        </w:rPr>
        <w:lastRenderedPageBreak/>
        <w:t xml:space="preserve">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“Mbytetépe poncho jurúicha”.</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Barolín,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r w:rsidRPr="00845294">
        <w:rPr>
          <w:rFonts w:ascii="Times New Roman" w:hAnsi="Times New Roman" w:cs="Times New Roman"/>
          <w:sz w:val="24"/>
          <w:szCs w:val="24"/>
        </w:rPr>
        <w:t xml:space="preserve">Bartolini,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Benitez Almeida, M., y</w:t>
      </w:r>
      <w:r w:rsidRPr="001A4DCA">
        <w:rPr>
          <w:rFonts w:ascii="Times New Roman" w:hAnsi="Times New Roman" w:cs="Times New Roman"/>
          <w:sz w:val="24"/>
          <w:szCs w:val="24"/>
        </w:rPr>
        <w:t xml:space="preserve"> Orué Pozzo,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Castells, Carlos y Castells,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Castilgia,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Gaido,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Gottero, L., y</w:t>
      </w:r>
      <w:r w:rsidRPr="00DD634B">
        <w:rPr>
          <w:rFonts w:ascii="Times New Roman" w:hAnsi="Times New Roman" w:cs="Times New Roman"/>
          <w:sz w:val="24"/>
          <w:szCs w:val="24"/>
        </w:rPr>
        <w:t xml:space="preserve"> López, M. El “Caso Lugo” en la prensa paraguaya y argentina: entre la “misión” pública y la “obligación” privada.</w:t>
      </w:r>
      <w:r>
        <w:rPr>
          <w:rFonts w:ascii="Times New Roman" w:hAnsi="Times New Roman" w:cs="Times New Roman"/>
          <w:sz w:val="24"/>
          <w:szCs w:val="24"/>
        </w:rPr>
        <w:t xml:space="preserve"> Recuperado de: </w:t>
      </w:r>
      <w:hyperlink r:id="rId10"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Revista Enfoques Vol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1"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2"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McCombs, M. y Evatt, D. (1995). </w:t>
      </w:r>
      <w:r w:rsidRPr="001A4DCA">
        <w:rPr>
          <w:rFonts w:ascii="Times New Roman" w:hAnsi="Times New Roman" w:cs="Times New Roman"/>
          <w:i/>
          <w:sz w:val="24"/>
          <w:szCs w:val="24"/>
        </w:rPr>
        <w:t>Los temas y los aspectos: explorando una nueva dimensión de la agenda setting.</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Mendoza Padilla, M., Elisandro,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Nickson,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3">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“Acerca de varias accountabilities y sus interrelaciones”</w:t>
      </w:r>
      <w:r w:rsidRPr="001A4DCA">
        <w:rPr>
          <w:rFonts w:ascii="Times New Roman" w:hAnsi="Times New Roman" w:cs="Times New Roman"/>
          <w:sz w:val="24"/>
          <w:szCs w:val="24"/>
        </w:rPr>
        <w:t xml:space="preserve">. En PeruzzottI, Enrique y Smulovitz,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Ollier,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4"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Palau Viladesau,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Richer,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o Brasil no século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Morlino,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Schembida,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5">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Serrafero, M. D (1996) </w:t>
      </w:r>
      <w:r w:rsidRPr="001A4DCA">
        <w:rPr>
          <w:rFonts w:ascii="Times New Roman" w:hAnsi="Times New Roman" w:cs="Times New Roman"/>
          <w:i/>
          <w:sz w:val="24"/>
          <w:szCs w:val="24"/>
        </w:rPr>
        <w:t>El “Impeachment”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Nikolajczuk,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6"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Vasilachis de Gialdino,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BA606C" w:rsidRPr="001A4DCA" w:rsidRDefault="00BA606C"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Veron,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Edicial. Buenos Aires, 1987. </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1" w:name="_Toc15840"/>
      <w:r>
        <w:rPr>
          <w:rFonts w:ascii="Times New Roman" w:hAnsi="Times New Roman" w:cs="Times New Roman"/>
          <w:sz w:val="24"/>
          <w:szCs w:val="24"/>
        </w:rPr>
        <w:t>ANEXO 1</w:t>
      </w:r>
      <w:bookmarkEnd w:id="11"/>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lastRenderedPageBreak/>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75131A"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EBC" w:rsidRDefault="00866EBC" w:rsidP="00B72BB0">
      <w:pPr>
        <w:spacing w:after="0" w:line="240" w:lineRule="auto"/>
      </w:pPr>
      <w:r>
        <w:separator/>
      </w:r>
    </w:p>
  </w:endnote>
  <w:endnote w:type="continuationSeparator" w:id="0">
    <w:p w:rsidR="00866EBC" w:rsidRDefault="00866EBC"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175EAE" w:rsidRDefault="00175EAE">
        <w:pPr>
          <w:pStyle w:val="Piedepgina"/>
          <w:jc w:val="center"/>
        </w:pPr>
        <w:r>
          <w:fldChar w:fldCharType="begin"/>
        </w:r>
        <w:r>
          <w:instrText>PAGE   \* MERGEFORMAT</w:instrText>
        </w:r>
        <w:r>
          <w:fldChar w:fldCharType="separate"/>
        </w:r>
        <w:r w:rsidR="00287462" w:rsidRPr="00287462">
          <w:rPr>
            <w:noProof/>
            <w:lang w:val="es-ES"/>
          </w:rPr>
          <w:t>41</w:t>
        </w:r>
        <w:r>
          <w:fldChar w:fldCharType="end"/>
        </w:r>
      </w:p>
    </w:sdtContent>
  </w:sdt>
  <w:p w:rsidR="00175EAE" w:rsidRDefault="00175E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EBC" w:rsidRDefault="00866EBC" w:rsidP="00B72BB0">
      <w:pPr>
        <w:spacing w:after="0" w:line="240" w:lineRule="auto"/>
      </w:pPr>
      <w:r>
        <w:separator/>
      </w:r>
    </w:p>
  </w:footnote>
  <w:footnote w:type="continuationSeparator" w:id="0">
    <w:p w:rsidR="00866EBC" w:rsidRDefault="00866EBC" w:rsidP="00B72BB0">
      <w:pPr>
        <w:spacing w:after="0" w:line="240" w:lineRule="auto"/>
      </w:pPr>
      <w:r>
        <w:continuationSeparator/>
      </w:r>
    </w:p>
  </w:footnote>
  <w:footnote w:id="1">
    <w:p w:rsidR="00175EAE" w:rsidRPr="00DD072C" w:rsidRDefault="00175EAE" w:rsidP="00DD072C">
      <w:pPr>
        <w:pStyle w:val="Textonotapie"/>
      </w:pPr>
      <w:r>
        <w:rPr>
          <w:rStyle w:val="Refdenotaalpie"/>
        </w:rPr>
        <w:footnoteRef/>
      </w:r>
      <w:r>
        <w:t xml:space="preserve"> Se considera pertinente mencionar que por 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175EAE" w:rsidRDefault="00175EAE">
      <w:pPr>
        <w:pStyle w:val="Textonotapie"/>
      </w:pPr>
    </w:p>
  </w:footnote>
  <w:footnote w:id="2">
    <w:p w:rsidR="00175EAE" w:rsidRDefault="00175EAE">
      <w:pPr>
        <w:pStyle w:val="Textonotapie"/>
      </w:pPr>
      <w:r>
        <w:rPr>
          <w:rStyle w:val="Refdenotaalpie"/>
        </w:rPr>
        <w:footnoteRef/>
      </w:r>
      <w:r>
        <w:t xml:space="preserve"> El listado de las fechas se encuentra estipulado en el Anexo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6817"/>
    <w:rsid w:val="00023F34"/>
    <w:rsid w:val="000315A6"/>
    <w:rsid w:val="0003402D"/>
    <w:rsid w:val="0004062A"/>
    <w:rsid w:val="00044B78"/>
    <w:rsid w:val="00052EC9"/>
    <w:rsid w:val="00053CBF"/>
    <w:rsid w:val="0006078B"/>
    <w:rsid w:val="00073373"/>
    <w:rsid w:val="00091399"/>
    <w:rsid w:val="00093675"/>
    <w:rsid w:val="000A1C09"/>
    <w:rsid w:val="000A2693"/>
    <w:rsid w:val="000A647C"/>
    <w:rsid w:val="000B0B3E"/>
    <w:rsid w:val="000B70C4"/>
    <w:rsid w:val="000D3DF0"/>
    <w:rsid w:val="000E2CAB"/>
    <w:rsid w:val="000F72B0"/>
    <w:rsid w:val="00103876"/>
    <w:rsid w:val="0011144B"/>
    <w:rsid w:val="00113E85"/>
    <w:rsid w:val="00115F06"/>
    <w:rsid w:val="00117C4F"/>
    <w:rsid w:val="001203AA"/>
    <w:rsid w:val="00122AF7"/>
    <w:rsid w:val="00126CF2"/>
    <w:rsid w:val="00136893"/>
    <w:rsid w:val="00137BA3"/>
    <w:rsid w:val="00137D31"/>
    <w:rsid w:val="001516E1"/>
    <w:rsid w:val="0015479D"/>
    <w:rsid w:val="00163B55"/>
    <w:rsid w:val="00175EAE"/>
    <w:rsid w:val="001832C8"/>
    <w:rsid w:val="001A0A7F"/>
    <w:rsid w:val="001A386B"/>
    <w:rsid w:val="001A4DCA"/>
    <w:rsid w:val="001B114F"/>
    <w:rsid w:val="001B1EEF"/>
    <w:rsid w:val="001B5987"/>
    <w:rsid w:val="001B6C5C"/>
    <w:rsid w:val="001C5330"/>
    <w:rsid w:val="001D06F6"/>
    <w:rsid w:val="001D47BF"/>
    <w:rsid w:val="001D6553"/>
    <w:rsid w:val="001E3FB7"/>
    <w:rsid w:val="002024A9"/>
    <w:rsid w:val="00203631"/>
    <w:rsid w:val="0020505B"/>
    <w:rsid w:val="00210252"/>
    <w:rsid w:val="0021312F"/>
    <w:rsid w:val="00225877"/>
    <w:rsid w:val="00225A53"/>
    <w:rsid w:val="0022774D"/>
    <w:rsid w:val="002312B7"/>
    <w:rsid w:val="00233B6E"/>
    <w:rsid w:val="002361C3"/>
    <w:rsid w:val="00236229"/>
    <w:rsid w:val="00237130"/>
    <w:rsid w:val="00240A40"/>
    <w:rsid w:val="00250EDF"/>
    <w:rsid w:val="00262CF0"/>
    <w:rsid w:val="00266345"/>
    <w:rsid w:val="002709D9"/>
    <w:rsid w:val="00281B5A"/>
    <w:rsid w:val="00287462"/>
    <w:rsid w:val="002901F6"/>
    <w:rsid w:val="002904D8"/>
    <w:rsid w:val="002A4A76"/>
    <w:rsid w:val="002A4B41"/>
    <w:rsid w:val="002B5203"/>
    <w:rsid w:val="002B641D"/>
    <w:rsid w:val="002C1226"/>
    <w:rsid w:val="002C1E78"/>
    <w:rsid w:val="002C20E2"/>
    <w:rsid w:val="002C2EA8"/>
    <w:rsid w:val="002C4A46"/>
    <w:rsid w:val="002D2C4D"/>
    <w:rsid w:val="002D40B2"/>
    <w:rsid w:val="002F616F"/>
    <w:rsid w:val="00306952"/>
    <w:rsid w:val="003076A2"/>
    <w:rsid w:val="00311BF3"/>
    <w:rsid w:val="00320AE9"/>
    <w:rsid w:val="00326104"/>
    <w:rsid w:val="00335826"/>
    <w:rsid w:val="00337F72"/>
    <w:rsid w:val="003430DA"/>
    <w:rsid w:val="00350318"/>
    <w:rsid w:val="00376FFF"/>
    <w:rsid w:val="003842D0"/>
    <w:rsid w:val="00396041"/>
    <w:rsid w:val="003A0A03"/>
    <w:rsid w:val="003A3D65"/>
    <w:rsid w:val="003A4DF8"/>
    <w:rsid w:val="003A684D"/>
    <w:rsid w:val="003C0FE0"/>
    <w:rsid w:val="003C5CE5"/>
    <w:rsid w:val="003D20FF"/>
    <w:rsid w:val="003E0B9B"/>
    <w:rsid w:val="003E1FAE"/>
    <w:rsid w:val="004064DC"/>
    <w:rsid w:val="00406FA2"/>
    <w:rsid w:val="0041650D"/>
    <w:rsid w:val="00427B07"/>
    <w:rsid w:val="00430C02"/>
    <w:rsid w:val="00441054"/>
    <w:rsid w:val="00441DCA"/>
    <w:rsid w:val="00453F4E"/>
    <w:rsid w:val="00460DB0"/>
    <w:rsid w:val="00481836"/>
    <w:rsid w:val="00482A90"/>
    <w:rsid w:val="00484D33"/>
    <w:rsid w:val="0049033D"/>
    <w:rsid w:val="004911B1"/>
    <w:rsid w:val="004961C2"/>
    <w:rsid w:val="004A041D"/>
    <w:rsid w:val="004D5B40"/>
    <w:rsid w:val="004E28BE"/>
    <w:rsid w:val="004F0FAB"/>
    <w:rsid w:val="005007D8"/>
    <w:rsid w:val="00500FC6"/>
    <w:rsid w:val="00501AF0"/>
    <w:rsid w:val="005044E9"/>
    <w:rsid w:val="00512CD3"/>
    <w:rsid w:val="00524A24"/>
    <w:rsid w:val="005334E3"/>
    <w:rsid w:val="00544DA3"/>
    <w:rsid w:val="00565C35"/>
    <w:rsid w:val="005728E7"/>
    <w:rsid w:val="0058306A"/>
    <w:rsid w:val="0058470B"/>
    <w:rsid w:val="0058633D"/>
    <w:rsid w:val="00590E66"/>
    <w:rsid w:val="00592A8F"/>
    <w:rsid w:val="005A27A2"/>
    <w:rsid w:val="005A4400"/>
    <w:rsid w:val="005B1832"/>
    <w:rsid w:val="005C601E"/>
    <w:rsid w:val="005C6A2E"/>
    <w:rsid w:val="005C7E0B"/>
    <w:rsid w:val="005D42F7"/>
    <w:rsid w:val="005E06F5"/>
    <w:rsid w:val="005E7081"/>
    <w:rsid w:val="005F3107"/>
    <w:rsid w:val="005F6AE6"/>
    <w:rsid w:val="00600545"/>
    <w:rsid w:val="0060122C"/>
    <w:rsid w:val="00606DF4"/>
    <w:rsid w:val="006074D1"/>
    <w:rsid w:val="0060762B"/>
    <w:rsid w:val="00611730"/>
    <w:rsid w:val="00616BF1"/>
    <w:rsid w:val="00630252"/>
    <w:rsid w:val="0064190F"/>
    <w:rsid w:val="00644AF1"/>
    <w:rsid w:val="00646543"/>
    <w:rsid w:val="00655D3D"/>
    <w:rsid w:val="006615BC"/>
    <w:rsid w:val="006620E0"/>
    <w:rsid w:val="0066271D"/>
    <w:rsid w:val="006629ED"/>
    <w:rsid w:val="00671F5B"/>
    <w:rsid w:val="00673370"/>
    <w:rsid w:val="00677FAC"/>
    <w:rsid w:val="006A6232"/>
    <w:rsid w:val="006C0026"/>
    <w:rsid w:val="006C04ED"/>
    <w:rsid w:val="006C1322"/>
    <w:rsid w:val="006C150D"/>
    <w:rsid w:val="006C4687"/>
    <w:rsid w:val="006D13A8"/>
    <w:rsid w:val="006D1B63"/>
    <w:rsid w:val="006E1B6E"/>
    <w:rsid w:val="006E583D"/>
    <w:rsid w:val="006E5FDB"/>
    <w:rsid w:val="006F1714"/>
    <w:rsid w:val="006F1BAE"/>
    <w:rsid w:val="007021A6"/>
    <w:rsid w:val="007048DD"/>
    <w:rsid w:val="00710D0C"/>
    <w:rsid w:val="00711AEF"/>
    <w:rsid w:val="00712E3B"/>
    <w:rsid w:val="00720E0A"/>
    <w:rsid w:val="007256CC"/>
    <w:rsid w:val="00735E14"/>
    <w:rsid w:val="007451A6"/>
    <w:rsid w:val="0075131A"/>
    <w:rsid w:val="0075373D"/>
    <w:rsid w:val="007556BC"/>
    <w:rsid w:val="007568B0"/>
    <w:rsid w:val="00760D5A"/>
    <w:rsid w:val="00767FAC"/>
    <w:rsid w:val="00776369"/>
    <w:rsid w:val="00790345"/>
    <w:rsid w:val="00792416"/>
    <w:rsid w:val="00793269"/>
    <w:rsid w:val="00794511"/>
    <w:rsid w:val="00794D05"/>
    <w:rsid w:val="007970F6"/>
    <w:rsid w:val="007B4D01"/>
    <w:rsid w:val="007C5E49"/>
    <w:rsid w:val="007E0F7A"/>
    <w:rsid w:val="007F1E14"/>
    <w:rsid w:val="007F5D46"/>
    <w:rsid w:val="0080084D"/>
    <w:rsid w:val="00800F0B"/>
    <w:rsid w:val="008062AB"/>
    <w:rsid w:val="00822BD4"/>
    <w:rsid w:val="00824721"/>
    <w:rsid w:val="00827BDB"/>
    <w:rsid w:val="00830FFC"/>
    <w:rsid w:val="008374B2"/>
    <w:rsid w:val="00837C4D"/>
    <w:rsid w:val="00845294"/>
    <w:rsid w:val="0084749D"/>
    <w:rsid w:val="00851A3C"/>
    <w:rsid w:val="00854EC0"/>
    <w:rsid w:val="00866EBC"/>
    <w:rsid w:val="00872DB4"/>
    <w:rsid w:val="00876464"/>
    <w:rsid w:val="0088140D"/>
    <w:rsid w:val="00883197"/>
    <w:rsid w:val="00885BBB"/>
    <w:rsid w:val="00897614"/>
    <w:rsid w:val="008B7E2F"/>
    <w:rsid w:val="008C5E95"/>
    <w:rsid w:val="008D158C"/>
    <w:rsid w:val="008F1B72"/>
    <w:rsid w:val="008F565E"/>
    <w:rsid w:val="00902DAE"/>
    <w:rsid w:val="00904E10"/>
    <w:rsid w:val="009223D6"/>
    <w:rsid w:val="00930C3A"/>
    <w:rsid w:val="00935509"/>
    <w:rsid w:val="00942182"/>
    <w:rsid w:val="00951EC0"/>
    <w:rsid w:val="00956A69"/>
    <w:rsid w:val="009600DA"/>
    <w:rsid w:val="009601CE"/>
    <w:rsid w:val="009640FC"/>
    <w:rsid w:val="00986AFD"/>
    <w:rsid w:val="00987B01"/>
    <w:rsid w:val="009917FF"/>
    <w:rsid w:val="009A1C40"/>
    <w:rsid w:val="009A256F"/>
    <w:rsid w:val="009B171B"/>
    <w:rsid w:val="009B17A4"/>
    <w:rsid w:val="009C04E5"/>
    <w:rsid w:val="009C0C39"/>
    <w:rsid w:val="009D5614"/>
    <w:rsid w:val="009D56E4"/>
    <w:rsid w:val="009D7268"/>
    <w:rsid w:val="009E135F"/>
    <w:rsid w:val="009F7C78"/>
    <w:rsid w:val="00A0062D"/>
    <w:rsid w:val="00A070AB"/>
    <w:rsid w:val="00A0714E"/>
    <w:rsid w:val="00A173F8"/>
    <w:rsid w:val="00A27939"/>
    <w:rsid w:val="00A35912"/>
    <w:rsid w:val="00A449A1"/>
    <w:rsid w:val="00A45152"/>
    <w:rsid w:val="00A52272"/>
    <w:rsid w:val="00A52895"/>
    <w:rsid w:val="00A56F81"/>
    <w:rsid w:val="00A66AD1"/>
    <w:rsid w:val="00A81F1A"/>
    <w:rsid w:val="00A869B7"/>
    <w:rsid w:val="00A87612"/>
    <w:rsid w:val="00A918A9"/>
    <w:rsid w:val="00A91E05"/>
    <w:rsid w:val="00A92D59"/>
    <w:rsid w:val="00A9462E"/>
    <w:rsid w:val="00AC6623"/>
    <w:rsid w:val="00AD2E32"/>
    <w:rsid w:val="00AD48B5"/>
    <w:rsid w:val="00AD7A22"/>
    <w:rsid w:val="00AF139B"/>
    <w:rsid w:val="00AF2627"/>
    <w:rsid w:val="00B00416"/>
    <w:rsid w:val="00B06599"/>
    <w:rsid w:val="00B11C79"/>
    <w:rsid w:val="00B342A7"/>
    <w:rsid w:val="00B367D4"/>
    <w:rsid w:val="00B54076"/>
    <w:rsid w:val="00B5669C"/>
    <w:rsid w:val="00B71F40"/>
    <w:rsid w:val="00B72AB1"/>
    <w:rsid w:val="00B72BB0"/>
    <w:rsid w:val="00B94312"/>
    <w:rsid w:val="00B95239"/>
    <w:rsid w:val="00BA606C"/>
    <w:rsid w:val="00BA697E"/>
    <w:rsid w:val="00BB1B6C"/>
    <w:rsid w:val="00BC14C1"/>
    <w:rsid w:val="00BC43BD"/>
    <w:rsid w:val="00BD0044"/>
    <w:rsid w:val="00BD5891"/>
    <w:rsid w:val="00BF2BAF"/>
    <w:rsid w:val="00BF3D77"/>
    <w:rsid w:val="00BF7D73"/>
    <w:rsid w:val="00C0188F"/>
    <w:rsid w:val="00C01A93"/>
    <w:rsid w:val="00C037F0"/>
    <w:rsid w:val="00C039C7"/>
    <w:rsid w:val="00C12626"/>
    <w:rsid w:val="00C12B63"/>
    <w:rsid w:val="00C20C9D"/>
    <w:rsid w:val="00C31B8F"/>
    <w:rsid w:val="00C34145"/>
    <w:rsid w:val="00C34C41"/>
    <w:rsid w:val="00C4275B"/>
    <w:rsid w:val="00C461A7"/>
    <w:rsid w:val="00C56E90"/>
    <w:rsid w:val="00C60BF7"/>
    <w:rsid w:val="00C63981"/>
    <w:rsid w:val="00C66EB6"/>
    <w:rsid w:val="00C72B89"/>
    <w:rsid w:val="00C86E60"/>
    <w:rsid w:val="00CB7374"/>
    <w:rsid w:val="00CC27C3"/>
    <w:rsid w:val="00CC5C05"/>
    <w:rsid w:val="00CD3A93"/>
    <w:rsid w:val="00CF2925"/>
    <w:rsid w:val="00D112D4"/>
    <w:rsid w:val="00D11B45"/>
    <w:rsid w:val="00D13E5E"/>
    <w:rsid w:val="00D159C7"/>
    <w:rsid w:val="00D20DC9"/>
    <w:rsid w:val="00D5289F"/>
    <w:rsid w:val="00D618F4"/>
    <w:rsid w:val="00D6270C"/>
    <w:rsid w:val="00D754CC"/>
    <w:rsid w:val="00D76153"/>
    <w:rsid w:val="00D85F00"/>
    <w:rsid w:val="00D91989"/>
    <w:rsid w:val="00D94510"/>
    <w:rsid w:val="00D97361"/>
    <w:rsid w:val="00DB3ED3"/>
    <w:rsid w:val="00DB4530"/>
    <w:rsid w:val="00DB53C3"/>
    <w:rsid w:val="00DB6C4C"/>
    <w:rsid w:val="00DC5785"/>
    <w:rsid w:val="00DD072C"/>
    <w:rsid w:val="00DD3C81"/>
    <w:rsid w:val="00DD634B"/>
    <w:rsid w:val="00DD654A"/>
    <w:rsid w:val="00DD7454"/>
    <w:rsid w:val="00DE7E52"/>
    <w:rsid w:val="00DF4C1C"/>
    <w:rsid w:val="00DF740D"/>
    <w:rsid w:val="00E07ABD"/>
    <w:rsid w:val="00E12835"/>
    <w:rsid w:val="00E232C6"/>
    <w:rsid w:val="00E24DFC"/>
    <w:rsid w:val="00E34B07"/>
    <w:rsid w:val="00E5042B"/>
    <w:rsid w:val="00E5776F"/>
    <w:rsid w:val="00E62AA5"/>
    <w:rsid w:val="00E65FDB"/>
    <w:rsid w:val="00E80AC1"/>
    <w:rsid w:val="00E84CA3"/>
    <w:rsid w:val="00E91B05"/>
    <w:rsid w:val="00E954E7"/>
    <w:rsid w:val="00E95615"/>
    <w:rsid w:val="00EA5D6A"/>
    <w:rsid w:val="00EB770F"/>
    <w:rsid w:val="00EC06B7"/>
    <w:rsid w:val="00EC0AD5"/>
    <w:rsid w:val="00EC1FF1"/>
    <w:rsid w:val="00EC7C18"/>
    <w:rsid w:val="00ED1C3E"/>
    <w:rsid w:val="00ED499E"/>
    <w:rsid w:val="00EE4D05"/>
    <w:rsid w:val="00EF4460"/>
    <w:rsid w:val="00EF66AD"/>
    <w:rsid w:val="00F02288"/>
    <w:rsid w:val="00F05E8E"/>
    <w:rsid w:val="00F11AFC"/>
    <w:rsid w:val="00F161D4"/>
    <w:rsid w:val="00F17D27"/>
    <w:rsid w:val="00F2046F"/>
    <w:rsid w:val="00F3691A"/>
    <w:rsid w:val="00F43A28"/>
    <w:rsid w:val="00F45B09"/>
    <w:rsid w:val="00F45D81"/>
    <w:rsid w:val="00F45FB7"/>
    <w:rsid w:val="00F5069B"/>
    <w:rsid w:val="00F613D9"/>
    <w:rsid w:val="00F623D0"/>
    <w:rsid w:val="00F62CB6"/>
    <w:rsid w:val="00F67988"/>
    <w:rsid w:val="00F700A8"/>
    <w:rsid w:val="00F73903"/>
    <w:rsid w:val="00F75445"/>
    <w:rsid w:val="00F91BB1"/>
    <w:rsid w:val="00F95A0D"/>
    <w:rsid w:val="00F95F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journalofdemocracyenespanol.cl/pdf/odonnel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erico.usal.es/iberoame/sites/default/files/gps/DocumentoTrabajo%2325_LuccaPinillos_final.doc.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evistachasqui.org/index.php/chasqui/article/view/3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alyc.org/html/403/40331800005/" TargetMode="External"/><Relationship Id="rId5" Type="http://schemas.openxmlformats.org/officeDocument/2006/relationships/webSettings" Target="webSettings.xml"/><Relationship Id="rId15" Type="http://schemas.openxmlformats.org/officeDocument/2006/relationships/hyperlink" Target="http://www.grupoparaguay.org/revista" TargetMode="External"/><Relationship Id="rId10" Type="http://schemas.openxmlformats.org/officeDocument/2006/relationships/hyperlink" Target="http://grupoparaguay.org/Gottero_Lopez_RAC_201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dalyc.org/html/308/308049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7E0BC-5DA6-4A46-AD3D-BE808BC4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6047</TotalTime>
  <Pages>44</Pages>
  <Words>13779</Words>
  <Characters>75787</Characters>
  <Application>Microsoft Office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162</cp:revision>
  <dcterms:created xsi:type="dcterms:W3CDTF">2018-05-08T14:32:00Z</dcterms:created>
  <dcterms:modified xsi:type="dcterms:W3CDTF">2019-02-04T15:35:00Z</dcterms:modified>
</cp:coreProperties>
</file>