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E65FDB"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E65FDB">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E65FDB"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E65FDB">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E65FDB"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7F5D46"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(CITAR)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p>
    <w:p w:rsid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caso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w:t>
      </w:r>
      <w:r w:rsidR="00C31B8F">
        <w:rPr>
          <w:rFonts w:ascii="Times New Roman" w:eastAsia="Times New Roman" w:hAnsi="Times New Roman" w:cs="Times New Roman"/>
          <w:sz w:val="24"/>
          <w:szCs w:val="24"/>
        </w:rPr>
        <w:lastRenderedPageBreak/>
        <w:t>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1"/>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w:t>
      </w:r>
      <w:r w:rsidRPr="00ED499E">
        <w:rPr>
          <w:rFonts w:ascii="Times New Roman" w:eastAsia="Times New Roman" w:hAnsi="Times New Roman" w:cs="Times New Roman"/>
          <w:sz w:val="24"/>
          <w:szCs w:val="24"/>
        </w:rPr>
        <w:lastRenderedPageBreak/>
        <w:t xml:space="preserve">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w:t>
      </w:r>
      <w:r w:rsidR="00326104" w:rsidRPr="007A259A">
        <w:rPr>
          <w:rFonts w:ascii="Times New Roman" w:eastAsia="Times New Roman" w:hAnsi="Times New Roman" w:cs="Times New Roman"/>
          <w:sz w:val="24"/>
          <w:szCs w:val="24"/>
        </w:rPr>
        <w:lastRenderedPageBreak/>
        <w:t xml:space="preserve">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cuál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Pr>
          <w:rFonts w:ascii="Times New Roman" w:hAnsi="Times New Roman" w:cs="Times New Roman"/>
          <w:sz w:val="24"/>
          <w:szCs w:val="24"/>
          <w:shd w:val="clear" w:color="auto" w:fill="FFFFFF"/>
        </w:rPr>
        <w:lastRenderedPageBreak/>
        <w:t xml:space="preserve">generaran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lastRenderedPageBreak/>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w:t>
      </w:r>
      <w:r>
        <w:rPr>
          <w:rFonts w:ascii="Times New Roman" w:eastAsia="Times New Roman" w:hAnsi="Times New Roman" w:cs="Times New Roman"/>
          <w:sz w:val="24"/>
          <w:szCs w:val="24"/>
        </w:rPr>
        <w:lastRenderedPageBreak/>
        <w:t xml:space="preserve">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 xml:space="preserve">Además, en los estudios de un solo caso se evita la </w:t>
      </w:r>
      <w:r w:rsidR="00E91B05" w:rsidRPr="00930C3A">
        <w:rPr>
          <w:rFonts w:ascii="Times New Roman" w:hAnsi="Times New Roman" w:cs="Times New Roman"/>
          <w:color w:val="FF0000"/>
          <w:sz w:val="24"/>
          <w:szCs w:val="24"/>
        </w:rPr>
        <w:lastRenderedPageBreak/>
        <w:t>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permite un análisis de mayor profundidad ya que admite tomar en consideración una gran cantidad de propiedades del caso 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xml:space="preserve">Este trabajo se sostiene sobre una metodología cualitativa en la que además de analizar la bibliografía pertinente sobre el tema y estudiar la historia política paraguaya, se ha realizado 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5145021"/>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w:t>
      </w:r>
      <w:r>
        <w:rPr>
          <w:rFonts w:ascii="Times New Roman" w:hAnsi="Times New Roman" w:cs="Times New Roman"/>
          <w:sz w:val="24"/>
          <w:szCs w:val="24"/>
        </w:rPr>
        <w:lastRenderedPageBreak/>
        <w:t xml:space="preserve">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w:t>
      </w:r>
      <w:r w:rsidRPr="00565C35">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5" w:name="_gjdgxs" w:colFirst="0" w:colLast="0"/>
      <w:bookmarkEnd w:id="5"/>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w:t>
      </w:r>
      <w:r w:rsidR="00D5289F" w:rsidRPr="009D5614">
        <w:rPr>
          <w:rFonts w:ascii="Times New Roman" w:eastAsia="Times New Roman" w:hAnsi="Times New Roman" w:cs="Times New Roman"/>
          <w:sz w:val="24"/>
          <w:szCs w:val="24"/>
        </w:rPr>
        <w:lastRenderedPageBreak/>
        <w:t>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482A90">
      <w:pPr>
        <w:spacing w:line="360" w:lineRule="auto"/>
        <w:jc w:val="both"/>
        <w:rPr>
          <w:rFonts w:ascii="Times New Roman" w:eastAsia="Times New Roman" w:hAnsi="Times New Roman" w:cs="Times New Roman"/>
          <w:sz w:val="24"/>
          <w:szCs w:val="24"/>
        </w:rPr>
      </w:pPr>
    </w:p>
    <w:p w:rsidR="003C5CE5" w:rsidRDefault="003C5CE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LAS NOTAS EDITORIALES</w:t>
      </w:r>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2"/>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proofErr w:type="spellStart"/>
      <w:r w:rsidR="0066271D">
        <w:rPr>
          <w:rFonts w:ascii="Times New Roman" w:eastAsia="Times New Roman" w:hAnsi="Times New Roman" w:cs="Times New Roman"/>
          <w:sz w:val="24"/>
          <w:szCs w:val="24"/>
        </w:rPr>
        <w:t>destinterés</w:t>
      </w:r>
      <w:proofErr w:type="spellEnd"/>
      <w:r w:rsidR="0066271D">
        <w:rPr>
          <w:rFonts w:ascii="Times New Roman" w:eastAsia="Times New Roman" w:hAnsi="Times New Roman" w:cs="Times New Roman"/>
          <w:sz w:val="24"/>
          <w:szCs w:val="24"/>
        </w:rPr>
        <w:t xml:space="preserve">, esto </w:t>
      </w:r>
      <w:r w:rsidR="0066271D">
        <w:rPr>
          <w:rFonts w:ascii="Times New Roman" w:eastAsia="Times New Roman" w:hAnsi="Times New Roman" w:cs="Times New Roman"/>
          <w:sz w:val="24"/>
          <w:szCs w:val="24"/>
        </w:rPr>
        <w:lastRenderedPageBreak/>
        <w:t>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Además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A52895" w:rsidRDefault="00A5289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esta manera, </w:t>
      </w:r>
      <w:bookmarkStart w:id="6" w:name="_GoBack"/>
      <w:bookmarkEnd w:id="6"/>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Tono de la editorial “prescriptivo”: este componente del enunciado guarda una relación directa con el “orden del deber, del orden de la necesidad deontológica. Esta necesidad aparece </w:t>
      </w:r>
      <w:proofErr w:type="spellStart"/>
      <w:r>
        <w:rPr>
          <w:rFonts w:ascii="Times New Roman" w:eastAsia="Times New Roman" w:hAnsi="Times New Roman" w:cs="Times New Roman"/>
          <w:sz w:val="24"/>
          <w:szCs w:val="24"/>
        </w:rPr>
        <w:t>coomo</w:t>
      </w:r>
      <w:proofErr w:type="spellEnd"/>
      <w:r>
        <w:rPr>
          <w:rFonts w:ascii="Times New Roman" w:eastAsia="Times New Roman" w:hAnsi="Times New Roman" w:cs="Times New Roman"/>
          <w:sz w:val="24"/>
          <w:szCs w:val="24"/>
        </w:rPr>
        <w:t xml:space="preserve"> un imperativo universal, de carácter impersonal. “El enunciado de la regla puede también cobrar la forma de un principio impersonal, sin que el enunciador busque articularse explícitamente a la legitimidad de esa regla en cuestión. </w:t>
      </w:r>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Tono Programático: “En este componente se manifiesta el peso de los fantasmas del futuro en el discurso político: es aquí que el hombre político promete, anuncia, se compromete. El comportamiento </w:t>
      </w:r>
      <w:proofErr w:type="spellStart"/>
      <w:r>
        <w:rPr>
          <w:rFonts w:ascii="Times New Roman" w:eastAsia="Times New Roman" w:hAnsi="Times New Roman" w:cs="Times New Roman"/>
          <w:sz w:val="24"/>
          <w:szCs w:val="24"/>
        </w:rPr>
        <w:t>programáticose</w:t>
      </w:r>
      <w:proofErr w:type="spellEnd"/>
      <w:r>
        <w:rPr>
          <w:rFonts w:ascii="Times New Roman" w:eastAsia="Times New Roman" w:hAnsi="Times New Roman" w:cs="Times New Roman"/>
          <w:sz w:val="24"/>
          <w:szCs w:val="24"/>
        </w:rPr>
        <w:t xml:space="preserve"> caracteriza por el predominio de las formas verbales en infinitivo y, naturalmente, en futuro: el infinitivo puede ser reemplazado por nominalizaciones. El componente programático es del orden del poder hacer. </w:t>
      </w:r>
      <w:r w:rsidR="00B342A7">
        <w:rPr>
          <w:rFonts w:ascii="Times New Roman" w:eastAsia="Times New Roman" w:hAnsi="Times New Roman" w:cs="Times New Roman"/>
          <w:sz w:val="24"/>
          <w:szCs w:val="24"/>
        </w:rPr>
        <w:t>(</w:t>
      </w:r>
      <w:proofErr w:type="spellStart"/>
      <w:r w:rsidR="00B342A7">
        <w:rPr>
          <w:rFonts w:ascii="Times New Roman" w:eastAsia="Times New Roman" w:hAnsi="Times New Roman" w:cs="Times New Roman"/>
          <w:sz w:val="24"/>
          <w:szCs w:val="24"/>
        </w:rPr>
        <w:t>pag</w:t>
      </w:r>
      <w:proofErr w:type="spellEnd"/>
      <w:r w:rsidR="00B342A7">
        <w:rPr>
          <w:rFonts w:ascii="Times New Roman" w:eastAsia="Times New Roman" w:hAnsi="Times New Roman" w:cs="Times New Roman"/>
          <w:sz w:val="24"/>
          <w:szCs w:val="24"/>
        </w:rPr>
        <w:t xml:space="preserve">. 53) Verón </w:t>
      </w: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w:t>
      </w:r>
      <w:r w:rsidR="00854EC0">
        <w:rPr>
          <w:rFonts w:ascii="Times New Roman" w:hAnsi="Times New Roman" w:cs="Times New Roman"/>
          <w:color w:val="1F3864" w:themeColor="accent5" w:themeShade="80"/>
          <w:sz w:val="24"/>
          <w:szCs w:val="24"/>
        </w:rPr>
        <w:lastRenderedPageBreak/>
        <w:t xml:space="preserve">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w:t>
      </w:r>
      <w:r w:rsidRPr="001A4DCA">
        <w:rPr>
          <w:rFonts w:ascii="Times New Roman" w:hAnsi="Times New Roman" w:cs="Times New Roman"/>
          <w:sz w:val="24"/>
          <w:szCs w:val="24"/>
        </w:rPr>
        <w:lastRenderedPageBreak/>
        <w:t>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 El “Caso Lugo” en la prensa paraguaya y argentina: entre la “misión” pública y la “obligación” privada.</w:t>
      </w:r>
      <w:r>
        <w:rPr>
          <w:rFonts w:ascii="Times New Roman" w:hAnsi="Times New Roman" w:cs="Times New Roman"/>
          <w:sz w:val="24"/>
          <w:szCs w:val="24"/>
        </w:rPr>
        <w:t xml:space="preserve"> 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1"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2"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3">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4"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w:t>
      </w:r>
      <w:r w:rsidRPr="001A4DCA">
        <w:rPr>
          <w:rFonts w:ascii="Times New Roman" w:hAnsi="Times New Roman" w:cs="Times New Roman"/>
          <w:sz w:val="24"/>
          <w:szCs w:val="24"/>
        </w:rPr>
        <w:lastRenderedPageBreak/>
        <w:t xml:space="preserve">y el Caribe, Universidad de Buenos Aires Argentina. Disponible en: </w:t>
      </w:r>
      <w:hyperlink r:id="rId15">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6"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BA606C" w:rsidRPr="001A4DCA"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ANEXO 1</w:t>
      </w:r>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 xml:space="preserve">Ultima Hora </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F700A8" w:rsidRPr="00F700A8" w:rsidRDefault="00F700A8" w:rsidP="00F700A8">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FDB" w:rsidRDefault="00E65FDB" w:rsidP="00B72BB0">
      <w:pPr>
        <w:spacing w:after="0" w:line="240" w:lineRule="auto"/>
      </w:pPr>
      <w:r>
        <w:separator/>
      </w:r>
    </w:p>
  </w:endnote>
  <w:endnote w:type="continuationSeparator" w:id="0">
    <w:p w:rsidR="00E65FDB" w:rsidRDefault="00E65FDB"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A52895" w:rsidRPr="00A52895">
          <w:rPr>
            <w:noProof/>
            <w:lang w:val="es-ES"/>
          </w:rPr>
          <w:t>35</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FDB" w:rsidRDefault="00E65FDB" w:rsidP="00B72BB0">
      <w:pPr>
        <w:spacing w:after="0" w:line="240" w:lineRule="auto"/>
      </w:pPr>
      <w:r>
        <w:separator/>
      </w:r>
    </w:p>
  </w:footnote>
  <w:footnote w:type="continuationSeparator" w:id="0">
    <w:p w:rsidR="00E65FDB" w:rsidRDefault="00E65FDB" w:rsidP="00B72BB0">
      <w:pPr>
        <w:spacing w:after="0" w:line="240" w:lineRule="auto"/>
      </w:pPr>
      <w:r>
        <w:continuationSeparator/>
      </w:r>
    </w:p>
  </w:footnote>
  <w:footnote w:id="1">
    <w:p w:rsidR="00DD072C" w:rsidRPr="00DD072C" w:rsidRDefault="00DD072C"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DD072C" w:rsidRDefault="00DD072C">
      <w:pPr>
        <w:pStyle w:val="Textonotapie"/>
      </w:pPr>
    </w:p>
  </w:footnote>
  <w:footnote w:id="2">
    <w:p w:rsidR="00F700A8" w:rsidRDefault="00F700A8">
      <w:pPr>
        <w:pStyle w:val="Textonotapie"/>
      </w:pPr>
      <w:r>
        <w:rPr>
          <w:rStyle w:val="Refdenotaalpie"/>
        </w:rPr>
        <w:footnoteRef/>
      </w:r>
      <w:r>
        <w:t xml:space="preserve"> El listado de las fechas se encuentra estipulado en el Anexo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44B78"/>
    <w:rsid w:val="00052EC9"/>
    <w:rsid w:val="00053CBF"/>
    <w:rsid w:val="00073373"/>
    <w:rsid w:val="00091399"/>
    <w:rsid w:val="00093675"/>
    <w:rsid w:val="000A1C09"/>
    <w:rsid w:val="000A2693"/>
    <w:rsid w:val="000A647C"/>
    <w:rsid w:val="000B0B3E"/>
    <w:rsid w:val="000D3DF0"/>
    <w:rsid w:val="000F72B0"/>
    <w:rsid w:val="00103876"/>
    <w:rsid w:val="0011144B"/>
    <w:rsid w:val="00115F06"/>
    <w:rsid w:val="00117C4F"/>
    <w:rsid w:val="001203AA"/>
    <w:rsid w:val="00122AF7"/>
    <w:rsid w:val="00126CF2"/>
    <w:rsid w:val="00136893"/>
    <w:rsid w:val="00137BA3"/>
    <w:rsid w:val="001516E1"/>
    <w:rsid w:val="00163B55"/>
    <w:rsid w:val="001832C8"/>
    <w:rsid w:val="001A0A7F"/>
    <w:rsid w:val="001A386B"/>
    <w:rsid w:val="001A4DCA"/>
    <w:rsid w:val="001B114F"/>
    <w:rsid w:val="001B1EEF"/>
    <w:rsid w:val="001B5987"/>
    <w:rsid w:val="001D47BF"/>
    <w:rsid w:val="001D6553"/>
    <w:rsid w:val="001E3FB7"/>
    <w:rsid w:val="002024A9"/>
    <w:rsid w:val="00203631"/>
    <w:rsid w:val="00225877"/>
    <w:rsid w:val="00225A53"/>
    <w:rsid w:val="0022774D"/>
    <w:rsid w:val="00233B6E"/>
    <w:rsid w:val="00236229"/>
    <w:rsid w:val="00240A40"/>
    <w:rsid w:val="00250EDF"/>
    <w:rsid w:val="00262CF0"/>
    <w:rsid w:val="00266345"/>
    <w:rsid w:val="002709D9"/>
    <w:rsid w:val="00281B5A"/>
    <w:rsid w:val="002901F6"/>
    <w:rsid w:val="002904D8"/>
    <w:rsid w:val="002A4A76"/>
    <w:rsid w:val="002A4B41"/>
    <w:rsid w:val="002B5203"/>
    <w:rsid w:val="002B641D"/>
    <w:rsid w:val="002C1226"/>
    <w:rsid w:val="002C1E78"/>
    <w:rsid w:val="002C2EA8"/>
    <w:rsid w:val="002D2C4D"/>
    <w:rsid w:val="002F616F"/>
    <w:rsid w:val="00306952"/>
    <w:rsid w:val="003076A2"/>
    <w:rsid w:val="00311BF3"/>
    <w:rsid w:val="00320AE9"/>
    <w:rsid w:val="00326104"/>
    <w:rsid w:val="00335826"/>
    <w:rsid w:val="00337F72"/>
    <w:rsid w:val="00350318"/>
    <w:rsid w:val="00376FFF"/>
    <w:rsid w:val="003A3D65"/>
    <w:rsid w:val="003A684D"/>
    <w:rsid w:val="003C0FE0"/>
    <w:rsid w:val="003C5CE5"/>
    <w:rsid w:val="003D20FF"/>
    <w:rsid w:val="003E1FAE"/>
    <w:rsid w:val="004064DC"/>
    <w:rsid w:val="00406FA2"/>
    <w:rsid w:val="0041650D"/>
    <w:rsid w:val="00427B07"/>
    <w:rsid w:val="00430C02"/>
    <w:rsid w:val="00441054"/>
    <w:rsid w:val="00441DCA"/>
    <w:rsid w:val="00453F4E"/>
    <w:rsid w:val="00460DB0"/>
    <w:rsid w:val="00481836"/>
    <w:rsid w:val="00482A90"/>
    <w:rsid w:val="00484D33"/>
    <w:rsid w:val="004911B1"/>
    <w:rsid w:val="004961C2"/>
    <w:rsid w:val="004A041D"/>
    <w:rsid w:val="004E28BE"/>
    <w:rsid w:val="005007D8"/>
    <w:rsid w:val="00500FC6"/>
    <w:rsid w:val="00501AF0"/>
    <w:rsid w:val="005044E9"/>
    <w:rsid w:val="00512CD3"/>
    <w:rsid w:val="00524A24"/>
    <w:rsid w:val="005334E3"/>
    <w:rsid w:val="00544DA3"/>
    <w:rsid w:val="00565C35"/>
    <w:rsid w:val="005728E7"/>
    <w:rsid w:val="0058306A"/>
    <w:rsid w:val="005A27A2"/>
    <w:rsid w:val="005B1832"/>
    <w:rsid w:val="005C601E"/>
    <w:rsid w:val="005C6A2E"/>
    <w:rsid w:val="005D42F7"/>
    <w:rsid w:val="005E06F5"/>
    <w:rsid w:val="005E7081"/>
    <w:rsid w:val="005F6AE6"/>
    <w:rsid w:val="00600545"/>
    <w:rsid w:val="0060122C"/>
    <w:rsid w:val="006074D1"/>
    <w:rsid w:val="0060762B"/>
    <w:rsid w:val="00616BF1"/>
    <w:rsid w:val="00630252"/>
    <w:rsid w:val="0064190F"/>
    <w:rsid w:val="00644AF1"/>
    <w:rsid w:val="00646543"/>
    <w:rsid w:val="00655D3D"/>
    <w:rsid w:val="006615BC"/>
    <w:rsid w:val="006620E0"/>
    <w:rsid w:val="0066271D"/>
    <w:rsid w:val="006629ED"/>
    <w:rsid w:val="00671F5B"/>
    <w:rsid w:val="00673370"/>
    <w:rsid w:val="00677FAC"/>
    <w:rsid w:val="006C0026"/>
    <w:rsid w:val="006C04ED"/>
    <w:rsid w:val="006C1322"/>
    <w:rsid w:val="006C4687"/>
    <w:rsid w:val="006E1B6E"/>
    <w:rsid w:val="006E583D"/>
    <w:rsid w:val="006F1714"/>
    <w:rsid w:val="006F1BAE"/>
    <w:rsid w:val="007048DD"/>
    <w:rsid w:val="00710D0C"/>
    <w:rsid w:val="00711AEF"/>
    <w:rsid w:val="00720E0A"/>
    <w:rsid w:val="007256CC"/>
    <w:rsid w:val="00735E14"/>
    <w:rsid w:val="007451A6"/>
    <w:rsid w:val="0075373D"/>
    <w:rsid w:val="007556BC"/>
    <w:rsid w:val="007568B0"/>
    <w:rsid w:val="00760D5A"/>
    <w:rsid w:val="00776369"/>
    <w:rsid w:val="00790345"/>
    <w:rsid w:val="00792416"/>
    <w:rsid w:val="00793269"/>
    <w:rsid w:val="00794511"/>
    <w:rsid w:val="00794D05"/>
    <w:rsid w:val="007970F6"/>
    <w:rsid w:val="007C5E49"/>
    <w:rsid w:val="007E0F7A"/>
    <w:rsid w:val="007F1E14"/>
    <w:rsid w:val="007F5D46"/>
    <w:rsid w:val="0080084D"/>
    <w:rsid w:val="00800F0B"/>
    <w:rsid w:val="008062AB"/>
    <w:rsid w:val="00824721"/>
    <w:rsid w:val="00827BDB"/>
    <w:rsid w:val="00830FFC"/>
    <w:rsid w:val="00837C4D"/>
    <w:rsid w:val="00845294"/>
    <w:rsid w:val="00851A3C"/>
    <w:rsid w:val="00854EC0"/>
    <w:rsid w:val="00872DB4"/>
    <w:rsid w:val="00876464"/>
    <w:rsid w:val="0088140D"/>
    <w:rsid w:val="00883197"/>
    <w:rsid w:val="00897614"/>
    <w:rsid w:val="008B7E2F"/>
    <w:rsid w:val="008C5E95"/>
    <w:rsid w:val="008D158C"/>
    <w:rsid w:val="008F1B72"/>
    <w:rsid w:val="008F565E"/>
    <w:rsid w:val="00904E10"/>
    <w:rsid w:val="00930C3A"/>
    <w:rsid w:val="00935509"/>
    <w:rsid w:val="00942182"/>
    <w:rsid w:val="009600DA"/>
    <w:rsid w:val="009601CE"/>
    <w:rsid w:val="009640FC"/>
    <w:rsid w:val="00986AFD"/>
    <w:rsid w:val="00987B01"/>
    <w:rsid w:val="009917FF"/>
    <w:rsid w:val="009A1C40"/>
    <w:rsid w:val="009A256F"/>
    <w:rsid w:val="009B171B"/>
    <w:rsid w:val="009B17A4"/>
    <w:rsid w:val="009C04E5"/>
    <w:rsid w:val="009C0C39"/>
    <w:rsid w:val="009D5614"/>
    <w:rsid w:val="009D7268"/>
    <w:rsid w:val="009E135F"/>
    <w:rsid w:val="009F7C78"/>
    <w:rsid w:val="00A0062D"/>
    <w:rsid w:val="00A070AB"/>
    <w:rsid w:val="00A0714E"/>
    <w:rsid w:val="00A27939"/>
    <w:rsid w:val="00A35912"/>
    <w:rsid w:val="00A449A1"/>
    <w:rsid w:val="00A45152"/>
    <w:rsid w:val="00A52272"/>
    <w:rsid w:val="00A52895"/>
    <w:rsid w:val="00A56F81"/>
    <w:rsid w:val="00A66AD1"/>
    <w:rsid w:val="00A869B7"/>
    <w:rsid w:val="00A918A9"/>
    <w:rsid w:val="00A91E05"/>
    <w:rsid w:val="00A92D59"/>
    <w:rsid w:val="00A9462E"/>
    <w:rsid w:val="00AC6623"/>
    <w:rsid w:val="00AD2E32"/>
    <w:rsid w:val="00AD7A22"/>
    <w:rsid w:val="00AF139B"/>
    <w:rsid w:val="00AF2627"/>
    <w:rsid w:val="00B00416"/>
    <w:rsid w:val="00B06599"/>
    <w:rsid w:val="00B11C79"/>
    <w:rsid w:val="00B342A7"/>
    <w:rsid w:val="00B367D4"/>
    <w:rsid w:val="00B54076"/>
    <w:rsid w:val="00B71F40"/>
    <w:rsid w:val="00B72AB1"/>
    <w:rsid w:val="00B72BB0"/>
    <w:rsid w:val="00B95239"/>
    <w:rsid w:val="00BA606C"/>
    <w:rsid w:val="00BA697E"/>
    <w:rsid w:val="00BB1B6C"/>
    <w:rsid w:val="00BC14C1"/>
    <w:rsid w:val="00BC43BD"/>
    <w:rsid w:val="00BD5891"/>
    <w:rsid w:val="00BF2BAF"/>
    <w:rsid w:val="00BF3D77"/>
    <w:rsid w:val="00BF7D73"/>
    <w:rsid w:val="00C0188F"/>
    <w:rsid w:val="00C01A93"/>
    <w:rsid w:val="00C037F0"/>
    <w:rsid w:val="00C039C7"/>
    <w:rsid w:val="00C12B63"/>
    <w:rsid w:val="00C20C9D"/>
    <w:rsid w:val="00C31B8F"/>
    <w:rsid w:val="00C34145"/>
    <w:rsid w:val="00C34C41"/>
    <w:rsid w:val="00C4275B"/>
    <w:rsid w:val="00C461A7"/>
    <w:rsid w:val="00C60BF7"/>
    <w:rsid w:val="00C66EB6"/>
    <w:rsid w:val="00C72B89"/>
    <w:rsid w:val="00C86E60"/>
    <w:rsid w:val="00CC27C3"/>
    <w:rsid w:val="00CD3A93"/>
    <w:rsid w:val="00CF2925"/>
    <w:rsid w:val="00D112D4"/>
    <w:rsid w:val="00D11B45"/>
    <w:rsid w:val="00D13E5E"/>
    <w:rsid w:val="00D159C7"/>
    <w:rsid w:val="00D20DC9"/>
    <w:rsid w:val="00D5289F"/>
    <w:rsid w:val="00D618F4"/>
    <w:rsid w:val="00D6270C"/>
    <w:rsid w:val="00D754CC"/>
    <w:rsid w:val="00D76153"/>
    <w:rsid w:val="00D85F00"/>
    <w:rsid w:val="00D91989"/>
    <w:rsid w:val="00D94510"/>
    <w:rsid w:val="00D97361"/>
    <w:rsid w:val="00DB3ED3"/>
    <w:rsid w:val="00DB53C3"/>
    <w:rsid w:val="00DC5785"/>
    <w:rsid w:val="00DD072C"/>
    <w:rsid w:val="00DD3C81"/>
    <w:rsid w:val="00DD634B"/>
    <w:rsid w:val="00DD654A"/>
    <w:rsid w:val="00DD7454"/>
    <w:rsid w:val="00DF4C1C"/>
    <w:rsid w:val="00E12835"/>
    <w:rsid w:val="00E232C6"/>
    <w:rsid w:val="00E24DFC"/>
    <w:rsid w:val="00E34B07"/>
    <w:rsid w:val="00E5042B"/>
    <w:rsid w:val="00E5776F"/>
    <w:rsid w:val="00E62AA5"/>
    <w:rsid w:val="00E65FDB"/>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2046F"/>
    <w:rsid w:val="00F43A28"/>
    <w:rsid w:val="00F45B09"/>
    <w:rsid w:val="00F45FB7"/>
    <w:rsid w:val="00F5069B"/>
    <w:rsid w:val="00F613D9"/>
    <w:rsid w:val="00F623D0"/>
    <w:rsid w:val="00F67988"/>
    <w:rsid w:val="00F700A8"/>
    <w:rsid w:val="00F75445"/>
    <w:rsid w:val="00F91BB1"/>
    <w:rsid w:val="00F95A0D"/>
    <w:rsid w:val="00F95F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erico.usal.es/iberoame/sites/default/files/gps/DocumentoTrabajo%2325_LuccaPinillos_final.do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html/403/40331800005/" TargetMode="External"/><Relationship Id="rId5" Type="http://schemas.openxmlformats.org/officeDocument/2006/relationships/webSettings" Target="webSetting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BC32-47A9-4314-A2CC-1D38CA19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5024</TotalTime>
  <Pages>38</Pages>
  <Words>11586</Words>
  <Characters>63727</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119</cp:revision>
  <dcterms:created xsi:type="dcterms:W3CDTF">2018-05-08T14:32:00Z</dcterms:created>
  <dcterms:modified xsi:type="dcterms:W3CDTF">2019-01-28T20:39:00Z</dcterms:modified>
</cp:coreProperties>
</file>