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95A03" w14:textId="110854C2" w:rsidR="00D53508" w:rsidRDefault="00CE7B16" w:rsidP="00CE7B16">
      <w:pPr>
        <w:jc w:val="center"/>
        <w:rPr>
          <w:b/>
          <w:bCs/>
          <w:sz w:val="32"/>
          <w:szCs w:val="32"/>
          <w:u w:val="single"/>
        </w:rPr>
      </w:pPr>
      <w:r w:rsidRPr="00CE7B16">
        <w:rPr>
          <w:b/>
          <w:bCs/>
          <w:sz w:val="32"/>
          <w:szCs w:val="32"/>
          <w:u w:val="single"/>
        </w:rPr>
        <w:t>EDA: TURISMO POSTCOVID</w:t>
      </w:r>
    </w:p>
    <w:p w14:paraId="07A84B74" w14:textId="5E6364B9" w:rsidR="00CE7B16" w:rsidRDefault="00CE7B16" w:rsidP="00CE7B16">
      <w:pPr>
        <w:jc w:val="center"/>
        <w:rPr>
          <w:b/>
          <w:bCs/>
          <w:sz w:val="32"/>
          <w:szCs w:val="32"/>
          <w:u w:val="single"/>
        </w:rPr>
      </w:pPr>
    </w:p>
    <w:p w14:paraId="4D00AD81" w14:textId="77777777" w:rsidR="00723F51" w:rsidRDefault="00CE7B16" w:rsidP="00CE7B16">
      <w:pPr>
        <w:rPr>
          <w:sz w:val="28"/>
          <w:szCs w:val="28"/>
        </w:rPr>
      </w:pPr>
      <w:r w:rsidRPr="009232A4">
        <w:rPr>
          <w:sz w:val="28"/>
          <w:szCs w:val="28"/>
          <w:u w:val="single"/>
        </w:rPr>
        <w:t>Objetivo</w:t>
      </w:r>
      <w:r>
        <w:rPr>
          <w:sz w:val="28"/>
          <w:szCs w:val="28"/>
        </w:rPr>
        <w:t>:</w:t>
      </w:r>
    </w:p>
    <w:p w14:paraId="261C0744" w14:textId="57724AD2" w:rsidR="00CE7B16" w:rsidRDefault="00CE7B16" w:rsidP="00CE7B16">
      <w:pPr>
        <w:rPr>
          <w:sz w:val="24"/>
          <w:szCs w:val="24"/>
        </w:rPr>
      </w:pPr>
      <w:r>
        <w:rPr>
          <w:sz w:val="24"/>
          <w:szCs w:val="24"/>
        </w:rPr>
        <w:t>Este estudio se centra en la necesidad de saber cuál es la situación actual del turismo español, ya que es uno de los pilares económicos de nuestro país</w:t>
      </w:r>
      <w:r w:rsidR="00C13D2F">
        <w:rPr>
          <w:sz w:val="24"/>
          <w:szCs w:val="24"/>
        </w:rPr>
        <w:t xml:space="preserve"> (contribución del 12% del PIB aproximadamente)</w:t>
      </w:r>
      <w:r>
        <w:rPr>
          <w:sz w:val="24"/>
          <w:szCs w:val="24"/>
        </w:rPr>
        <w:t xml:space="preserve">, tras el impacto de la pandemia del </w:t>
      </w:r>
      <w:r w:rsidR="00936077">
        <w:rPr>
          <w:sz w:val="24"/>
          <w:szCs w:val="24"/>
        </w:rPr>
        <w:t>COVID</w:t>
      </w:r>
      <w:r>
        <w:rPr>
          <w:sz w:val="24"/>
          <w:szCs w:val="24"/>
        </w:rPr>
        <w:t xml:space="preserve"> (</w:t>
      </w:r>
      <w:r w:rsidR="00DC4A41">
        <w:rPr>
          <w:sz w:val="24"/>
          <w:szCs w:val="24"/>
        </w:rPr>
        <w:t>marzo</w:t>
      </w:r>
      <w:r>
        <w:rPr>
          <w:sz w:val="24"/>
          <w:szCs w:val="24"/>
        </w:rPr>
        <w:t xml:space="preserve"> 2020). </w:t>
      </w:r>
    </w:p>
    <w:p w14:paraId="4FBB34C2" w14:textId="77777777" w:rsidR="00723F51" w:rsidRDefault="00936077" w:rsidP="00CE7B16">
      <w:pPr>
        <w:rPr>
          <w:sz w:val="28"/>
          <w:szCs w:val="28"/>
        </w:rPr>
      </w:pPr>
      <w:r w:rsidRPr="009232A4">
        <w:rPr>
          <w:sz w:val="28"/>
          <w:szCs w:val="28"/>
          <w:u w:val="single"/>
        </w:rPr>
        <w:t>Hipótesis inicial</w:t>
      </w:r>
      <w:r>
        <w:rPr>
          <w:sz w:val="28"/>
          <w:szCs w:val="28"/>
        </w:rPr>
        <w:t xml:space="preserve">: </w:t>
      </w:r>
    </w:p>
    <w:p w14:paraId="4DD517D2" w14:textId="1653ADD8" w:rsidR="009232A4" w:rsidRDefault="00936077" w:rsidP="00CE7B16">
      <w:pPr>
        <w:rPr>
          <w:sz w:val="24"/>
          <w:szCs w:val="24"/>
        </w:rPr>
      </w:pPr>
      <w:r>
        <w:rPr>
          <w:sz w:val="24"/>
          <w:szCs w:val="24"/>
        </w:rPr>
        <w:t>Partimos de los buenos números, a nivel económico, en los que se encuentra nuestro país dentro del sector turístico. Tras la crisis de 2008, dentro de este sector, nuestro país supo recuperarse rápidamente y eso fue debido a que en España contamos con numerosos factores que influyen muy positivamente en este sector. ¿Habrá ocurrido lo mismo tras el COVID? Estamos convencidos de que sí, pero analicemos</w:t>
      </w:r>
      <w:r w:rsidR="009232A4">
        <w:rPr>
          <w:sz w:val="24"/>
          <w:szCs w:val="24"/>
        </w:rPr>
        <w:t xml:space="preserve"> los resultados de los que disponemos, dos años después de este enorme shock mundial</w:t>
      </w:r>
      <w:r w:rsidR="009E45A3">
        <w:rPr>
          <w:sz w:val="24"/>
          <w:szCs w:val="24"/>
        </w:rPr>
        <w:t xml:space="preserve">. </w:t>
      </w:r>
    </w:p>
    <w:p w14:paraId="0FDAB10D" w14:textId="3E24029E" w:rsidR="009E45A3" w:rsidRPr="009E45A3" w:rsidRDefault="009E45A3" w:rsidP="009E45A3">
      <w:pPr>
        <w:rPr>
          <w:sz w:val="28"/>
          <w:szCs w:val="28"/>
          <w:u w:val="single"/>
        </w:rPr>
      </w:pPr>
      <w:r w:rsidRPr="009E45A3">
        <w:rPr>
          <w:sz w:val="28"/>
          <w:szCs w:val="28"/>
          <w:u w:val="single"/>
        </w:rPr>
        <w:t xml:space="preserve">Datos: </w:t>
      </w:r>
    </w:p>
    <w:p w14:paraId="01550ACA" w14:textId="714FCD0A" w:rsidR="00C13D2F" w:rsidRDefault="009E45A3" w:rsidP="00CE7B16">
      <w:pPr>
        <w:rPr>
          <w:sz w:val="24"/>
          <w:szCs w:val="24"/>
        </w:rPr>
      </w:pPr>
      <w:r w:rsidRPr="009E45A3">
        <w:rPr>
          <w:sz w:val="24"/>
          <w:szCs w:val="24"/>
        </w:rPr>
        <w:t>Para el análisis, los datos los he obtenido a través de la página web oficial del gobierno de España (</w:t>
      </w:r>
      <w:hyperlink r:id="rId6" w:history="1">
        <w:r w:rsidRPr="009E45A3">
          <w:rPr>
            <w:sz w:val="24"/>
            <w:szCs w:val="24"/>
          </w:rPr>
          <w:t>www.datosgob.es</w:t>
        </w:r>
      </w:hyperlink>
      <w:r w:rsidR="00C13D2F">
        <w:rPr>
          <w:sz w:val="24"/>
          <w:szCs w:val="24"/>
        </w:rPr>
        <w:t xml:space="preserve">, </w:t>
      </w:r>
      <w:hyperlink r:id="rId7" w:history="1">
        <w:r w:rsidR="00C13D2F" w:rsidRPr="00092DFF">
          <w:rPr>
            <w:rStyle w:val="Hipervnculo"/>
            <w:sz w:val="24"/>
            <w:szCs w:val="24"/>
          </w:rPr>
          <w:t>https://datos.gob.es/en/catalogo?q=andalucia&amp;theme_id=turismo&amp;sort=score+desc%2C+metadata_created+desc&amp;page=1</w:t>
        </w:r>
        <w:r w:rsidR="00C13D2F" w:rsidRPr="00C13D2F">
          <w:rPr>
            <w:rStyle w:val="Hipervnculo"/>
            <w:sz w:val="24"/>
            <w:szCs w:val="24"/>
            <w:u w:val="none"/>
          </w:rPr>
          <w:t>)</w:t>
        </w:r>
      </w:hyperlink>
      <w:r w:rsidRPr="009E45A3">
        <w:rPr>
          <w:sz w:val="24"/>
          <w:szCs w:val="24"/>
        </w:rPr>
        <w:t xml:space="preserve"> y a través de la página web del Instituto Nacional de Estadística (</w:t>
      </w:r>
      <w:hyperlink r:id="rId8" w:tgtFrame="_blank" w:history="1">
        <w:r w:rsidRPr="00C13D2F">
          <w:rPr>
            <w:rStyle w:val="Hipervnculo"/>
            <w:sz w:val="24"/>
            <w:szCs w:val="24"/>
          </w:rPr>
          <w:t>https://www.ine.es/dynt3/inebase/index.htm?padre=252&amp;capsel=252</w:t>
        </w:r>
      </w:hyperlink>
      <w:r w:rsidRPr="009E45A3">
        <w:rPr>
          <w:sz w:val="24"/>
          <w:szCs w:val="24"/>
        </w:rPr>
        <w:t>)</w:t>
      </w:r>
      <w:r w:rsidR="00C13D2F">
        <w:rPr>
          <w:sz w:val="24"/>
          <w:szCs w:val="24"/>
        </w:rPr>
        <w:t>.</w:t>
      </w:r>
    </w:p>
    <w:p w14:paraId="23E8B7B0" w14:textId="1F1B1F6E" w:rsidR="002B2ACB" w:rsidRPr="002E62C8" w:rsidRDefault="00830380" w:rsidP="00CE7B16">
      <w:pPr>
        <w:rPr>
          <w:sz w:val="28"/>
          <w:szCs w:val="28"/>
          <w:u w:val="single"/>
        </w:rPr>
      </w:pPr>
      <w:r>
        <w:rPr>
          <w:sz w:val="28"/>
          <w:szCs w:val="28"/>
          <w:u w:val="single"/>
        </w:rPr>
        <w:t>KPI´s</w:t>
      </w:r>
      <w:r w:rsidR="00C13D2F">
        <w:rPr>
          <w:sz w:val="28"/>
          <w:szCs w:val="28"/>
          <w:u w:val="single"/>
        </w:rPr>
        <w:t xml:space="preserve"> turísticos</w:t>
      </w:r>
      <w:r w:rsidR="002E62C8" w:rsidRPr="002E62C8">
        <w:rPr>
          <w:sz w:val="28"/>
          <w:szCs w:val="28"/>
          <w:u w:val="single"/>
        </w:rPr>
        <w:t>:</w:t>
      </w:r>
    </w:p>
    <w:p w14:paraId="50439B0C" w14:textId="493733BE" w:rsidR="002B2ACB" w:rsidRDefault="002B2ACB" w:rsidP="00CE7B16">
      <w:pPr>
        <w:rPr>
          <w:sz w:val="24"/>
          <w:szCs w:val="24"/>
        </w:rPr>
      </w:pPr>
      <w:r>
        <w:rPr>
          <w:sz w:val="24"/>
          <w:szCs w:val="24"/>
        </w:rPr>
        <w:t xml:space="preserve">Para el análisis lo hemos desglosado en ver el </w:t>
      </w:r>
      <w:r w:rsidRPr="00044BC0">
        <w:rPr>
          <w:b/>
          <w:bCs/>
          <w:sz w:val="24"/>
          <w:szCs w:val="24"/>
        </w:rPr>
        <w:t xml:space="preserve">impacto </w:t>
      </w:r>
      <w:r w:rsidR="002E62C8" w:rsidRPr="00044BC0">
        <w:rPr>
          <w:b/>
          <w:bCs/>
          <w:sz w:val="24"/>
          <w:szCs w:val="24"/>
        </w:rPr>
        <w:t>nacional</w:t>
      </w:r>
      <w:r w:rsidR="002E62C8">
        <w:rPr>
          <w:sz w:val="24"/>
          <w:szCs w:val="24"/>
        </w:rPr>
        <w:t xml:space="preserve"> a través de dos KPI´s esenciales </w:t>
      </w:r>
      <w:r w:rsidR="00C13D2F">
        <w:rPr>
          <w:sz w:val="24"/>
          <w:szCs w:val="24"/>
        </w:rPr>
        <w:t>relativos a</w:t>
      </w:r>
      <w:r w:rsidR="002E62C8">
        <w:rPr>
          <w:sz w:val="24"/>
          <w:szCs w:val="24"/>
        </w:rPr>
        <w:t xml:space="preserve"> alojamiento</w:t>
      </w:r>
      <w:r w:rsidR="00C13D2F">
        <w:rPr>
          <w:sz w:val="24"/>
          <w:szCs w:val="24"/>
        </w:rPr>
        <w:t>s</w:t>
      </w:r>
      <w:r w:rsidR="002E62C8">
        <w:rPr>
          <w:sz w:val="24"/>
          <w:szCs w:val="24"/>
        </w:rPr>
        <w:t xml:space="preserve"> turístico</w:t>
      </w:r>
      <w:r w:rsidR="00C13D2F">
        <w:rPr>
          <w:sz w:val="24"/>
          <w:szCs w:val="24"/>
        </w:rPr>
        <w:t>s</w:t>
      </w:r>
      <w:r w:rsidR="002E62C8">
        <w:rPr>
          <w:sz w:val="24"/>
          <w:szCs w:val="24"/>
        </w:rPr>
        <w:t xml:space="preserve">: </w:t>
      </w:r>
    </w:p>
    <w:p w14:paraId="2C0CF010" w14:textId="3BC8187F" w:rsidR="002E62C8" w:rsidRDefault="002E62C8" w:rsidP="002E62C8">
      <w:pPr>
        <w:pStyle w:val="Prrafodelista"/>
        <w:numPr>
          <w:ilvl w:val="0"/>
          <w:numId w:val="1"/>
        </w:numPr>
        <w:rPr>
          <w:sz w:val="24"/>
          <w:szCs w:val="24"/>
        </w:rPr>
      </w:pPr>
      <w:r>
        <w:rPr>
          <w:sz w:val="24"/>
          <w:szCs w:val="24"/>
        </w:rPr>
        <w:t xml:space="preserve">ADR (Average Daily Rate): </w:t>
      </w:r>
      <w:r w:rsidR="00044BC0">
        <w:rPr>
          <w:sz w:val="24"/>
          <w:szCs w:val="24"/>
        </w:rPr>
        <w:t>Es el precio medio diario por pernoctación. Ello se calcula independientemente del número de personas en habitación (individual, doble…) y del tipo de habitación (estándar, superior, junior suite…)</w:t>
      </w:r>
    </w:p>
    <w:p w14:paraId="0660A4C5" w14:textId="1F03C61E" w:rsidR="00044BC0" w:rsidRDefault="00044BC0" w:rsidP="002E62C8">
      <w:pPr>
        <w:pStyle w:val="Prrafodelista"/>
        <w:numPr>
          <w:ilvl w:val="0"/>
          <w:numId w:val="1"/>
        </w:numPr>
        <w:rPr>
          <w:sz w:val="24"/>
          <w:szCs w:val="24"/>
        </w:rPr>
      </w:pPr>
      <w:r>
        <w:rPr>
          <w:sz w:val="24"/>
          <w:szCs w:val="24"/>
        </w:rPr>
        <w:t xml:space="preserve">RevPAR (Revenue Per Available Room): </w:t>
      </w:r>
      <w:r w:rsidR="00A84863">
        <w:rPr>
          <w:sz w:val="24"/>
          <w:szCs w:val="24"/>
        </w:rPr>
        <w:t xml:space="preserve">Es el beneficio por habitación disponible. </w:t>
      </w:r>
      <w:r w:rsidR="00961B26">
        <w:rPr>
          <w:sz w:val="24"/>
          <w:szCs w:val="24"/>
        </w:rPr>
        <w:t xml:space="preserve">Es un KPI bastante importante, ya que en él se tiene en cuenta el beneficio, es decir, descontado todos los gastos (limpieza, mantenimiento…) y solo se calcula sobre las habitaciones disponibles, puesto que, en los alojamientos turísticos, es muy frecuente que siempre haya habitaciones que por diversos motivos no estén todos los días disponibles. </w:t>
      </w:r>
    </w:p>
    <w:p w14:paraId="1579B1C6" w14:textId="2E949C00" w:rsidR="00436485" w:rsidRDefault="00961B26" w:rsidP="00961B26">
      <w:pPr>
        <w:rPr>
          <w:sz w:val="24"/>
          <w:szCs w:val="24"/>
        </w:rPr>
      </w:pPr>
      <w:r>
        <w:rPr>
          <w:sz w:val="24"/>
          <w:szCs w:val="24"/>
        </w:rPr>
        <w:t>Por otro lado, también hemos analizado el impacto postcovid en el turismo</w:t>
      </w:r>
      <w:r w:rsidR="00436485">
        <w:rPr>
          <w:sz w:val="24"/>
          <w:szCs w:val="24"/>
        </w:rPr>
        <w:t xml:space="preserve"> a través de otros dos KPI´s </w:t>
      </w:r>
      <w:r w:rsidR="00864BA1">
        <w:rPr>
          <w:sz w:val="24"/>
          <w:szCs w:val="24"/>
        </w:rPr>
        <w:t xml:space="preserve">en esta ocasión </w:t>
      </w:r>
      <w:r w:rsidR="00436485">
        <w:rPr>
          <w:sz w:val="24"/>
          <w:szCs w:val="24"/>
        </w:rPr>
        <w:t xml:space="preserve">a nivel de </w:t>
      </w:r>
      <w:r w:rsidR="00436485" w:rsidRPr="00436485">
        <w:rPr>
          <w:b/>
          <w:bCs/>
          <w:sz w:val="24"/>
          <w:szCs w:val="24"/>
        </w:rPr>
        <w:t>zonas turísticas</w:t>
      </w:r>
      <w:r w:rsidR="00436485">
        <w:rPr>
          <w:sz w:val="24"/>
          <w:szCs w:val="24"/>
        </w:rPr>
        <w:t xml:space="preserve">: </w:t>
      </w:r>
    </w:p>
    <w:p w14:paraId="095D863B" w14:textId="3F3A953B" w:rsidR="00436485" w:rsidRPr="009E603A" w:rsidRDefault="00436485" w:rsidP="009E603A">
      <w:pPr>
        <w:pStyle w:val="Prrafodelista"/>
        <w:numPr>
          <w:ilvl w:val="0"/>
          <w:numId w:val="1"/>
        </w:numPr>
        <w:rPr>
          <w:sz w:val="24"/>
          <w:szCs w:val="24"/>
        </w:rPr>
      </w:pPr>
      <w:r w:rsidRPr="009E603A">
        <w:rPr>
          <w:sz w:val="24"/>
          <w:szCs w:val="24"/>
        </w:rPr>
        <w:lastRenderedPageBreak/>
        <w:t xml:space="preserve">Average Stay (Estancia media): En este indicador se tiene en cuenta la estancia media del destino turístico. No será lo mismo el tiempo que solemos quedarnos en un destino de playa que el tiempo que pasamos en un destino urbano. </w:t>
      </w:r>
    </w:p>
    <w:p w14:paraId="56F979A0" w14:textId="553B0AFE" w:rsidR="00936077" w:rsidRPr="009E603A" w:rsidRDefault="00436485" w:rsidP="009E603A">
      <w:pPr>
        <w:pStyle w:val="Prrafodelista"/>
        <w:numPr>
          <w:ilvl w:val="0"/>
          <w:numId w:val="1"/>
        </w:numPr>
        <w:rPr>
          <w:sz w:val="24"/>
          <w:szCs w:val="24"/>
        </w:rPr>
      </w:pPr>
      <w:r w:rsidRPr="009E603A">
        <w:rPr>
          <w:sz w:val="24"/>
          <w:szCs w:val="24"/>
        </w:rPr>
        <w:t>Estimated Beds (Plazas disponibles</w:t>
      </w:r>
      <w:r w:rsidR="00C13D2F">
        <w:rPr>
          <w:sz w:val="24"/>
          <w:szCs w:val="24"/>
        </w:rPr>
        <w:t xml:space="preserve"> estimadas</w:t>
      </w:r>
      <w:r w:rsidRPr="009E603A">
        <w:rPr>
          <w:sz w:val="24"/>
          <w:szCs w:val="24"/>
        </w:rPr>
        <w:t>): Muy relacionado con el KPI que analizamos a nivel nacional de RevPAR, en este indicador vamos a ver las plazas disponibles que tenemos en cada zona turística. Esto puede ir variando, además de por la apertura o cierre de establecimientos a nivel total, también se puede ver afectado a nivel parcial, debido a, por ejemplo, reparaciones de mantenimiento o renovaciones, ya que mientras se estén realizando solo se disponga durante unos meses de una parte del alojamiento.</w:t>
      </w:r>
      <w:r w:rsidR="00B10597" w:rsidRPr="009E603A">
        <w:rPr>
          <w:sz w:val="24"/>
          <w:szCs w:val="24"/>
        </w:rPr>
        <w:t xml:space="preserve"> Pasaremos a verlo en detalle durante el análisis, pero s</w:t>
      </w:r>
      <w:r w:rsidR="00C13D2F">
        <w:rPr>
          <w:sz w:val="24"/>
          <w:szCs w:val="24"/>
        </w:rPr>
        <w:t>í</w:t>
      </w:r>
      <w:r w:rsidR="00B10597" w:rsidRPr="009E603A">
        <w:rPr>
          <w:sz w:val="24"/>
          <w:szCs w:val="24"/>
        </w:rPr>
        <w:t xml:space="preserve"> puedo adelantar que durante la crisis del covid, como muchos alojamientos turísticos tuvieron la obligación legal de mantener sus puertas cerradas, fueron muchos los que aprovecharon para realizar obras y así poder ofrecer el 100% de sus camas tras su reapertura. </w:t>
      </w:r>
    </w:p>
    <w:p w14:paraId="505AAE95" w14:textId="2A6CE2F8" w:rsidR="006B3DCB" w:rsidRPr="009E603A" w:rsidRDefault="006B3DCB" w:rsidP="009E603A">
      <w:pPr>
        <w:rPr>
          <w:sz w:val="28"/>
          <w:szCs w:val="28"/>
          <w:u w:val="single"/>
        </w:rPr>
      </w:pPr>
      <w:r w:rsidRPr="009E603A">
        <w:rPr>
          <w:sz w:val="28"/>
          <w:szCs w:val="28"/>
          <w:u w:val="single"/>
        </w:rPr>
        <w:t xml:space="preserve">Análisis: </w:t>
      </w:r>
    </w:p>
    <w:p w14:paraId="124423A5" w14:textId="49FD3A3D" w:rsidR="006254F6" w:rsidRPr="009E603A" w:rsidRDefault="006254F6" w:rsidP="009E603A">
      <w:pPr>
        <w:pStyle w:val="Prrafodelista"/>
        <w:rPr>
          <w:sz w:val="24"/>
          <w:szCs w:val="24"/>
        </w:rPr>
      </w:pPr>
      <w:r w:rsidRPr="009E603A">
        <w:rPr>
          <w:noProof/>
          <w:sz w:val="24"/>
          <w:szCs w:val="24"/>
        </w:rPr>
        <w:drawing>
          <wp:inline distT="0" distB="0" distL="0" distR="0" wp14:anchorId="12B014B9" wp14:editId="5B993652">
            <wp:extent cx="5096510" cy="3864334"/>
            <wp:effectExtent l="0" t="0" r="8890" b="3175"/>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6459" cy="3871878"/>
                    </a:xfrm>
                    <a:prstGeom prst="rect">
                      <a:avLst/>
                    </a:prstGeom>
                  </pic:spPr>
                </pic:pic>
              </a:graphicData>
            </a:graphic>
          </wp:inline>
        </w:drawing>
      </w:r>
    </w:p>
    <w:p w14:paraId="2DD7F0A3" w14:textId="55219241" w:rsidR="00A47160" w:rsidRPr="009E603A" w:rsidRDefault="006B3DCB" w:rsidP="009E603A">
      <w:pPr>
        <w:rPr>
          <w:sz w:val="24"/>
          <w:szCs w:val="24"/>
        </w:rPr>
      </w:pPr>
      <w:r w:rsidRPr="009E603A">
        <w:rPr>
          <w:sz w:val="24"/>
          <w:szCs w:val="24"/>
        </w:rPr>
        <w:t>Centrándonos en los datos obtenidos a nivel nacional podemos ver que el ADR tiene un comportamiento cíclico, el cual tiene su pico en los meses de verano. Sin embargo, en marzo-abril de 2020 sufre una caída sin precedentes</w:t>
      </w:r>
      <w:r w:rsidR="00A47160" w:rsidRPr="009E603A">
        <w:rPr>
          <w:sz w:val="24"/>
          <w:szCs w:val="24"/>
        </w:rPr>
        <w:t xml:space="preserve">, como consencuencia por imperativo legal del cierre de establecimientos. </w:t>
      </w:r>
    </w:p>
    <w:p w14:paraId="23823544" w14:textId="242AD503" w:rsidR="006B3DCB" w:rsidRPr="009E603A" w:rsidRDefault="00454A7D" w:rsidP="009E603A">
      <w:pPr>
        <w:rPr>
          <w:sz w:val="24"/>
          <w:szCs w:val="24"/>
        </w:rPr>
      </w:pPr>
      <w:r w:rsidRPr="009E603A">
        <w:rPr>
          <w:sz w:val="24"/>
          <w:szCs w:val="24"/>
        </w:rPr>
        <w:t xml:space="preserve">En el verano de 2020 vemos que se ha recuperado, pero aún no ha llegado a los niveles del año previo. No es hasta el verano de 2021, cuando se superan un poco respecto al año 2019 y es en verano de 2022 cuando incluso toca un máximo. </w:t>
      </w:r>
      <w:r w:rsidR="006B3DCB" w:rsidRPr="009E603A">
        <w:rPr>
          <w:sz w:val="24"/>
          <w:szCs w:val="24"/>
        </w:rPr>
        <w:t xml:space="preserve"> </w:t>
      </w:r>
    </w:p>
    <w:p w14:paraId="582FE2A3" w14:textId="5F15733F" w:rsidR="00723F51" w:rsidRPr="009E603A" w:rsidRDefault="00454A7D" w:rsidP="009E603A">
      <w:pPr>
        <w:rPr>
          <w:sz w:val="24"/>
          <w:szCs w:val="24"/>
        </w:rPr>
      </w:pPr>
      <w:r w:rsidRPr="009E603A">
        <w:rPr>
          <w:sz w:val="24"/>
          <w:szCs w:val="24"/>
        </w:rPr>
        <w:lastRenderedPageBreak/>
        <w:t xml:space="preserve">El RevPar lleva una tendencia muy similar a la del ADR, también con un marcado carácter cíclico y también con la misma pauta de recuperación. </w:t>
      </w:r>
    </w:p>
    <w:p w14:paraId="54AB9D9C" w14:textId="38206D51" w:rsidR="006254F6" w:rsidRDefault="00454A7D" w:rsidP="009E603A">
      <w:pPr>
        <w:rPr>
          <w:sz w:val="24"/>
          <w:szCs w:val="24"/>
        </w:rPr>
      </w:pPr>
      <w:r w:rsidRPr="009E603A">
        <w:rPr>
          <w:sz w:val="24"/>
          <w:szCs w:val="24"/>
        </w:rPr>
        <w:t xml:space="preserve">Esto nos hace pensar que exista una fuerte correlación entre ambas variables y efectivamente, al verlo en detalle comprobamos que ambos KPI´s se mueven en el mismo sentido, cuando sube el precio medio diario (ADR) sube el beneficio por habitación disponible (RevPAR) y a la inversa. </w:t>
      </w:r>
      <w:r w:rsidR="006254F6">
        <w:rPr>
          <w:noProof/>
          <w:sz w:val="24"/>
          <w:szCs w:val="24"/>
        </w:rPr>
        <w:drawing>
          <wp:inline distT="0" distB="0" distL="0" distR="0" wp14:anchorId="104FBD83" wp14:editId="399F025E">
            <wp:extent cx="5400040" cy="4050030"/>
            <wp:effectExtent l="0" t="0" r="0" b="7620"/>
            <wp:docPr id="3" name="Imagen 3"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rectángulo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F0E7D9D" w14:textId="77777777" w:rsidR="009E603A" w:rsidRPr="00E65E69" w:rsidRDefault="009E603A" w:rsidP="009E603A">
      <w:pPr>
        <w:rPr>
          <w:noProof/>
          <w:sz w:val="24"/>
          <w:szCs w:val="24"/>
        </w:rPr>
      </w:pPr>
    </w:p>
    <w:p w14:paraId="5B7F0F24" w14:textId="242AAE69" w:rsidR="00454A7D" w:rsidRPr="009E603A" w:rsidRDefault="00562A6C" w:rsidP="009E603A">
      <w:pPr>
        <w:rPr>
          <w:sz w:val="24"/>
          <w:szCs w:val="24"/>
        </w:rPr>
      </w:pPr>
      <w:r w:rsidRPr="009E603A">
        <w:rPr>
          <w:sz w:val="24"/>
          <w:szCs w:val="24"/>
        </w:rPr>
        <w:t xml:space="preserve">También en el estudio, para comprobar que efectivamente la tendencia a la recuperación económica del turismo postcovid es positiva he analizado cada una de las variables (ADR y RevPAR) con sus medias móviles de los 5 meses anteriores. Con esto podemos ver muy claramente cuál es la tendencia y hacia donde se dirige el turismo. Estos datos no nos dejan lugar a dudas, es un buen momento para el turismo.  </w:t>
      </w:r>
    </w:p>
    <w:p w14:paraId="1471B8F4" w14:textId="209DD9A3" w:rsidR="006254F6" w:rsidRDefault="006254F6" w:rsidP="00723F51">
      <w:pPr>
        <w:pStyle w:val="Prrafodelista"/>
        <w:rPr>
          <w:noProof/>
          <w:sz w:val="24"/>
          <w:szCs w:val="24"/>
        </w:rPr>
      </w:pPr>
      <w:r>
        <w:rPr>
          <w:noProof/>
          <w:sz w:val="24"/>
          <w:szCs w:val="24"/>
        </w:rPr>
        <w:lastRenderedPageBreak/>
        <w:drawing>
          <wp:inline distT="0" distB="0" distL="0" distR="0" wp14:anchorId="4EBF8405" wp14:editId="038BADF9">
            <wp:extent cx="5400040" cy="4319905"/>
            <wp:effectExtent l="0" t="0" r="0" b="4445"/>
            <wp:docPr id="4" name="Imagen 4"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 Histo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62B3142F" w14:textId="09BC7B5A" w:rsidR="006254F6" w:rsidRPr="00E65E69" w:rsidRDefault="006254F6" w:rsidP="00723F51">
      <w:pPr>
        <w:pStyle w:val="Prrafodelista"/>
        <w:rPr>
          <w:noProof/>
          <w:sz w:val="24"/>
          <w:szCs w:val="24"/>
        </w:rPr>
      </w:pPr>
      <w:r>
        <w:rPr>
          <w:noProof/>
          <w:sz w:val="24"/>
          <w:szCs w:val="24"/>
        </w:rPr>
        <w:drawing>
          <wp:inline distT="0" distB="0" distL="0" distR="0" wp14:anchorId="1ED4D296" wp14:editId="602E7998">
            <wp:extent cx="5400040" cy="4319905"/>
            <wp:effectExtent l="0" t="0" r="0" b="4445"/>
            <wp:docPr id="5" name="Imagen 5"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 Histo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363440A5" w14:textId="71FB94EE" w:rsidR="00723F51" w:rsidRDefault="00723F51" w:rsidP="00723F51">
      <w:pPr>
        <w:pStyle w:val="Prrafodelista"/>
        <w:rPr>
          <w:sz w:val="24"/>
          <w:szCs w:val="24"/>
        </w:rPr>
      </w:pPr>
    </w:p>
    <w:p w14:paraId="5B8D710F" w14:textId="79F5CAEC" w:rsidR="006254F6" w:rsidRDefault="006254F6" w:rsidP="0067692B">
      <w:r>
        <w:lastRenderedPageBreak/>
        <w:t>Ya estamos viendo que</w:t>
      </w:r>
      <w:r w:rsidR="00D11FBD">
        <w:t xml:space="preserve">, </w:t>
      </w:r>
      <w:r>
        <w:t xml:space="preserve">a nivel global, desde los KPI´s analizados </w:t>
      </w:r>
      <w:r w:rsidR="00D11FBD">
        <w:t xml:space="preserve">en el contexto </w:t>
      </w:r>
      <w:r>
        <w:t>nacional</w:t>
      </w:r>
      <w:r w:rsidR="00D11FBD">
        <w:t xml:space="preserve">, se confirma nuestra hipótesis. Ahora pasamos a analizar por zonas turísticas los otros dos KPI´s. </w:t>
      </w:r>
    </w:p>
    <w:p w14:paraId="6576A63C" w14:textId="77777777" w:rsidR="009E603A" w:rsidRDefault="009E603A" w:rsidP="0067692B"/>
    <w:p w14:paraId="3EFE953F" w14:textId="03F4BB9B" w:rsidR="00D11FBD" w:rsidRDefault="007E2CDF" w:rsidP="0067692B">
      <w:r>
        <w:t xml:space="preserve">En España hay muchas zonas turísticas, ya que es un país muy rico en cultura, climas y zonas geográficas. Es por </w:t>
      </w:r>
      <w:r w:rsidR="00C961CA">
        <w:t xml:space="preserve">ello </w:t>
      </w:r>
      <w:r w:rsidR="009E603A">
        <w:t>que,</w:t>
      </w:r>
      <w:r w:rsidR="00C961CA">
        <w:t xml:space="preserve"> debido a la gran extensión, para</w:t>
      </w:r>
      <w:r>
        <w:t xml:space="preserve"> mi análisis me he centrado en tres zonas concretas para así poder </w:t>
      </w:r>
      <w:r w:rsidR="00C961CA">
        <w:t xml:space="preserve">indagar </w:t>
      </w:r>
      <w:r>
        <w:t xml:space="preserve">más a fondo y ver todas sus particularidades: Andalucía, </w:t>
      </w:r>
      <w:r w:rsidR="0010642E">
        <w:t xml:space="preserve">Canarias y Cataluña. </w:t>
      </w:r>
    </w:p>
    <w:p w14:paraId="5E92D92E" w14:textId="19A6BB81" w:rsidR="00936077" w:rsidRDefault="00C961CA" w:rsidP="00C13D2F">
      <w:pPr>
        <w:pStyle w:val="Prrafodelista"/>
        <w:jc w:val="center"/>
        <w:rPr>
          <w:sz w:val="24"/>
          <w:szCs w:val="24"/>
        </w:rPr>
      </w:pPr>
      <w:r>
        <w:rPr>
          <w:noProof/>
          <w:sz w:val="24"/>
          <w:szCs w:val="24"/>
        </w:rPr>
        <w:drawing>
          <wp:inline distT="0" distB="0" distL="0" distR="0" wp14:anchorId="4D52D115" wp14:editId="52F67F0E">
            <wp:extent cx="5057775" cy="4319905"/>
            <wp:effectExtent l="0" t="0" r="9525" b="444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7775" cy="4319905"/>
                    </a:xfrm>
                    <a:prstGeom prst="rect">
                      <a:avLst/>
                    </a:prstGeom>
                  </pic:spPr>
                </pic:pic>
              </a:graphicData>
            </a:graphic>
          </wp:inline>
        </w:drawing>
      </w:r>
    </w:p>
    <w:p w14:paraId="2C740953" w14:textId="6B14B96E" w:rsidR="00C961CA" w:rsidRDefault="00C961CA" w:rsidP="0067692B">
      <w:r>
        <w:t xml:space="preserve">La estancia media en Andalucía es muy variada según las zonas, pero en todas coincide la caída en marzo de 2020 y la progresiva recuperación durante los meses de verano del mismo año. Llama especialmente la atención los picos de subida que se producen en la zona de costa tropical (Granada). Se ve claramente como el último pico producido dentro de la serie temporal analizada es mucho mayor que el producido a comienzos de 2020. </w:t>
      </w:r>
    </w:p>
    <w:p w14:paraId="32584CB1" w14:textId="77777777" w:rsidR="00C961CA" w:rsidRDefault="00C961CA" w:rsidP="00C961CA">
      <w:pPr>
        <w:rPr>
          <w:sz w:val="24"/>
          <w:szCs w:val="24"/>
        </w:rPr>
      </w:pPr>
    </w:p>
    <w:p w14:paraId="151AA52D" w14:textId="075FE3D1" w:rsidR="00C961CA" w:rsidRDefault="004107AB" w:rsidP="00C961CA">
      <w:pPr>
        <w:rPr>
          <w:sz w:val="24"/>
          <w:szCs w:val="24"/>
        </w:rPr>
      </w:pPr>
      <w:r>
        <w:rPr>
          <w:noProof/>
          <w:sz w:val="24"/>
          <w:szCs w:val="24"/>
        </w:rPr>
        <w:lastRenderedPageBreak/>
        <w:drawing>
          <wp:inline distT="0" distB="0" distL="0" distR="0" wp14:anchorId="04B37CEE" wp14:editId="09821F64">
            <wp:extent cx="5400040" cy="4319905"/>
            <wp:effectExtent l="0" t="0" r="0" b="4445"/>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512AE65E" w14:textId="2BE11B3B" w:rsidR="00C961CA" w:rsidRDefault="00C961CA" w:rsidP="00C961CA">
      <w:pPr>
        <w:rPr>
          <w:sz w:val="24"/>
          <w:szCs w:val="24"/>
        </w:rPr>
      </w:pPr>
      <w:r>
        <w:rPr>
          <w:sz w:val="24"/>
          <w:szCs w:val="24"/>
        </w:rPr>
        <w:t xml:space="preserve">Las estancias medias en </w:t>
      </w:r>
      <w:r w:rsidR="004107AB">
        <w:rPr>
          <w:sz w:val="24"/>
          <w:szCs w:val="24"/>
        </w:rPr>
        <w:t xml:space="preserve">Canarias ya no tienen ese componente cíclico tan acusado que se observaba en el caso anterior. Aquí se ve como en todas las zonas canarias se sigue una tendencia positiva, aunque bien es cierto, que aún no se han recuperado los valores previos al COVID, es decir, valores del año 2019. </w:t>
      </w:r>
    </w:p>
    <w:p w14:paraId="75DE62BF" w14:textId="28E10CA7" w:rsidR="004107AB" w:rsidRDefault="004107AB" w:rsidP="00C961CA">
      <w:pPr>
        <w:rPr>
          <w:sz w:val="24"/>
          <w:szCs w:val="24"/>
        </w:rPr>
      </w:pPr>
      <w:r>
        <w:rPr>
          <w:noProof/>
          <w:sz w:val="24"/>
          <w:szCs w:val="24"/>
        </w:rPr>
        <w:lastRenderedPageBreak/>
        <w:drawing>
          <wp:inline distT="0" distB="0" distL="0" distR="0" wp14:anchorId="65FAFD26" wp14:editId="269690CE">
            <wp:extent cx="5400040" cy="4319905"/>
            <wp:effectExtent l="0" t="0" r="0" b="444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5CAF292D" w14:textId="77777777" w:rsidR="0067692B" w:rsidRDefault="0067692B" w:rsidP="00C961CA">
      <w:pPr>
        <w:rPr>
          <w:sz w:val="24"/>
          <w:szCs w:val="24"/>
        </w:rPr>
      </w:pPr>
    </w:p>
    <w:p w14:paraId="34114F84" w14:textId="243C365F" w:rsidR="00CE7B16" w:rsidRDefault="004107AB" w:rsidP="00CE7B16">
      <w:pPr>
        <w:rPr>
          <w:sz w:val="24"/>
          <w:szCs w:val="24"/>
        </w:rPr>
      </w:pPr>
      <w:r>
        <w:rPr>
          <w:sz w:val="24"/>
          <w:szCs w:val="24"/>
        </w:rPr>
        <w:t xml:space="preserve">Pasando a analizar las estancias medias de la última zona analizada, Cataluña, llama mucho la atención a simple vista el comportamiento ocurrido en Barcelona. </w:t>
      </w:r>
      <w:r w:rsidR="00DF5E6F">
        <w:rPr>
          <w:sz w:val="24"/>
          <w:szCs w:val="24"/>
        </w:rPr>
        <w:t xml:space="preserve">Como explicaba al principio, las estancias medias vienen a </w:t>
      </w:r>
      <w:r w:rsidR="00A76E72">
        <w:rPr>
          <w:sz w:val="24"/>
          <w:szCs w:val="24"/>
        </w:rPr>
        <w:t>seguir patrones bastante definidos</w:t>
      </w:r>
      <w:r w:rsidR="00DF5E6F">
        <w:rPr>
          <w:sz w:val="24"/>
          <w:szCs w:val="24"/>
        </w:rPr>
        <w:t xml:space="preserve"> y es muy difícil que varíen, ya que depende mucho del destino y el tipo de turismo que allí se produzca: turismo de playa, turismo urbano, turismo de negocio…</w:t>
      </w:r>
    </w:p>
    <w:p w14:paraId="1FE3F5A2" w14:textId="16B9E918" w:rsidR="0067692B" w:rsidRDefault="0067692B" w:rsidP="00CE7B16">
      <w:pPr>
        <w:rPr>
          <w:sz w:val="24"/>
          <w:szCs w:val="24"/>
        </w:rPr>
      </w:pPr>
      <w:r>
        <w:rPr>
          <w:noProof/>
          <w:sz w:val="24"/>
          <w:szCs w:val="24"/>
        </w:rPr>
        <w:lastRenderedPageBreak/>
        <w:drawing>
          <wp:inline distT="0" distB="0" distL="0" distR="0" wp14:anchorId="752FFBE8" wp14:editId="7FAC6395">
            <wp:extent cx="5400040" cy="4319905"/>
            <wp:effectExtent l="0" t="0" r="0" b="4445"/>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01AD5C13" w14:textId="77777777" w:rsidR="00A76E72" w:rsidRDefault="00DF5E6F" w:rsidP="00CE7B16">
      <w:pPr>
        <w:rPr>
          <w:sz w:val="24"/>
          <w:szCs w:val="24"/>
        </w:rPr>
      </w:pPr>
      <w:r>
        <w:rPr>
          <w:sz w:val="24"/>
          <w:szCs w:val="24"/>
        </w:rPr>
        <w:t>Barcelona es una ciudad grande, donde se producen muchos eventos y congresos, así que durante 2019 vemos que la estancia media viene a ser de 3-4 días. Sin embargo, a</w:t>
      </w:r>
      <w:r w:rsidR="00A76E72">
        <w:rPr>
          <w:sz w:val="24"/>
          <w:szCs w:val="24"/>
        </w:rPr>
        <w:t xml:space="preserve"> finales de 2020 y</w:t>
      </w:r>
      <w:r>
        <w:rPr>
          <w:sz w:val="24"/>
          <w:szCs w:val="24"/>
        </w:rPr>
        <w:t xml:space="preserve"> comienzos de 2021 esta estancia media se eleva hasta l</w:t>
      </w:r>
      <w:r w:rsidR="00A76E72">
        <w:rPr>
          <w:sz w:val="24"/>
          <w:szCs w:val="24"/>
        </w:rPr>
        <w:t>o</w:t>
      </w:r>
      <w:r>
        <w:rPr>
          <w:sz w:val="24"/>
          <w:szCs w:val="24"/>
        </w:rPr>
        <w:t xml:space="preserve">s 11 días y lo llamativo, no es solo ese pico de subida en la estancia media, sino como se van manteniendo valores altos hasta principios de 2022 donde aunque parece que ya lleva un ritmo más constante, pero siguen siendo valores más altos que previo al COVID. </w:t>
      </w:r>
    </w:p>
    <w:p w14:paraId="7F7DB748" w14:textId="77777777" w:rsidR="00A76E72" w:rsidRDefault="00A76E72" w:rsidP="00CE7B16">
      <w:pPr>
        <w:rPr>
          <w:sz w:val="24"/>
          <w:szCs w:val="24"/>
        </w:rPr>
      </w:pPr>
    </w:p>
    <w:p w14:paraId="30A971E1" w14:textId="6394FE3A" w:rsidR="00A76E72" w:rsidRDefault="00B47232" w:rsidP="00CE7B16">
      <w:pPr>
        <w:rPr>
          <w:sz w:val="24"/>
          <w:szCs w:val="24"/>
        </w:rPr>
      </w:pPr>
      <w:r>
        <w:rPr>
          <w:sz w:val="24"/>
          <w:szCs w:val="24"/>
        </w:rPr>
        <w:t>También es muy llamativo el caso de la zona de Tierras del Ebro, donde el comportamiento cíclico es muy acusado</w:t>
      </w:r>
      <w:r w:rsidR="00A76E72">
        <w:rPr>
          <w:sz w:val="24"/>
          <w:szCs w:val="24"/>
        </w:rPr>
        <w:t>:</w:t>
      </w:r>
    </w:p>
    <w:p w14:paraId="45A87F8B" w14:textId="72B1F8FA" w:rsidR="00B47232" w:rsidRDefault="00B47232" w:rsidP="00CE7B16">
      <w:pPr>
        <w:rPr>
          <w:sz w:val="24"/>
          <w:szCs w:val="24"/>
        </w:rPr>
      </w:pPr>
      <w:r>
        <w:rPr>
          <w:noProof/>
          <w:sz w:val="24"/>
          <w:szCs w:val="24"/>
        </w:rPr>
        <w:lastRenderedPageBreak/>
        <w:drawing>
          <wp:inline distT="0" distB="0" distL="0" distR="0" wp14:anchorId="7DAA209A" wp14:editId="7A9A9C5A">
            <wp:extent cx="5400040" cy="4319905"/>
            <wp:effectExtent l="0" t="0" r="0" b="4445"/>
            <wp:docPr id="11"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57B6E1B7" w14:textId="406D2281" w:rsidR="00972E1B" w:rsidRDefault="00B47232" w:rsidP="00CE7B16">
      <w:pPr>
        <w:rPr>
          <w:sz w:val="24"/>
          <w:szCs w:val="24"/>
        </w:rPr>
      </w:pPr>
      <w:r>
        <w:rPr>
          <w:sz w:val="24"/>
          <w:szCs w:val="24"/>
        </w:rPr>
        <w:t>Pero ya no es solo ese comportamiento cíclico, sino como en el verano de 2021 (el verano es la época de picos altos y el invierno las caídas)</w:t>
      </w:r>
      <w:r w:rsidR="002B01F6">
        <w:rPr>
          <w:sz w:val="24"/>
          <w:szCs w:val="24"/>
        </w:rPr>
        <w:t xml:space="preserve"> </w:t>
      </w:r>
      <w:r>
        <w:rPr>
          <w:sz w:val="24"/>
          <w:szCs w:val="24"/>
        </w:rPr>
        <w:t xml:space="preserve">la estancia media pasó a ser de 11 días cuando en los años anteriores de nuestra serie temporal, en verano se situaba en 7 días de estancia media. Y aunque después del verano tuvo igualmente una caída por el componente cíclico, la tendencia es totalmente positiva, muy diferente a lo que se ha producido en años anteriores. </w:t>
      </w:r>
      <w:r w:rsidR="00972E1B">
        <w:rPr>
          <w:sz w:val="24"/>
          <w:szCs w:val="24"/>
        </w:rPr>
        <w:t xml:space="preserve">Otro claro indicador más de que el turismo se encuentra en tiempos mejores a los anteriores al COVID. </w:t>
      </w:r>
    </w:p>
    <w:p w14:paraId="62E0BA0B" w14:textId="4D18431A" w:rsidR="00972E1B" w:rsidRDefault="00972E1B" w:rsidP="00CE7B16">
      <w:pPr>
        <w:rPr>
          <w:noProof/>
          <w:sz w:val="24"/>
          <w:szCs w:val="24"/>
        </w:rPr>
      </w:pPr>
      <w:r>
        <w:rPr>
          <w:sz w:val="24"/>
          <w:szCs w:val="24"/>
        </w:rPr>
        <w:t>Centrándonos ya en nuestro último KPI analizado, plazas disponibles, y volviendo a observar las tres zonas turísticas elegidas, vemos que en Andalucía hay una clara tendencia positiv</w:t>
      </w:r>
      <w:r w:rsidR="00A76E72">
        <w:rPr>
          <w:sz w:val="24"/>
          <w:szCs w:val="24"/>
        </w:rPr>
        <w:t xml:space="preserve">a </w:t>
      </w:r>
      <w:r>
        <w:rPr>
          <w:sz w:val="24"/>
          <w:szCs w:val="24"/>
        </w:rPr>
        <w:t xml:space="preserve">en todas sus zonas, teniendo prácticamente en todas, valores superiores a los alcanzados antes del COVID. </w:t>
      </w:r>
    </w:p>
    <w:p w14:paraId="684E4D91" w14:textId="77777777" w:rsidR="00972E1B" w:rsidRDefault="00972E1B" w:rsidP="00CE7B16">
      <w:pPr>
        <w:rPr>
          <w:noProof/>
          <w:sz w:val="24"/>
          <w:szCs w:val="24"/>
        </w:rPr>
      </w:pPr>
    </w:p>
    <w:p w14:paraId="35D18E19" w14:textId="12D07A88" w:rsidR="00972E1B" w:rsidRDefault="00972E1B" w:rsidP="00CE7B16">
      <w:pPr>
        <w:rPr>
          <w:sz w:val="24"/>
          <w:szCs w:val="24"/>
        </w:rPr>
      </w:pPr>
      <w:r>
        <w:rPr>
          <w:noProof/>
          <w:sz w:val="24"/>
          <w:szCs w:val="24"/>
        </w:rPr>
        <w:lastRenderedPageBreak/>
        <w:drawing>
          <wp:inline distT="0" distB="0" distL="0" distR="0" wp14:anchorId="59BE68AD" wp14:editId="7CED300F">
            <wp:extent cx="5400040" cy="4319905"/>
            <wp:effectExtent l="0" t="0" r="0" b="4445"/>
            <wp:docPr id="12" name="Imagen 1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 Histo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7864B15D" w14:textId="77777777" w:rsidR="00A76E72" w:rsidRDefault="00972E1B" w:rsidP="00CE7B16">
      <w:pPr>
        <w:rPr>
          <w:sz w:val="24"/>
          <w:szCs w:val="24"/>
        </w:rPr>
      </w:pPr>
      <w:r>
        <w:rPr>
          <w:sz w:val="24"/>
          <w:szCs w:val="24"/>
        </w:rPr>
        <w:t>En Canarias la situación es diferente. Al igual que ocurría con el indicador anterior (Estancia media), aunque la tendencia es igualmente positiva, aún no se</w:t>
      </w:r>
      <w:r w:rsidR="0067692B">
        <w:rPr>
          <w:sz w:val="24"/>
          <w:szCs w:val="24"/>
        </w:rPr>
        <w:t xml:space="preserve"> han alcanzado los valores previos a la pandemia.</w:t>
      </w:r>
    </w:p>
    <w:p w14:paraId="770710F3" w14:textId="49F5380B" w:rsidR="00972E1B" w:rsidRDefault="00972E1B" w:rsidP="00CE7B16">
      <w:pPr>
        <w:rPr>
          <w:sz w:val="24"/>
          <w:szCs w:val="24"/>
        </w:rPr>
      </w:pPr>
      <w:r>
        <w:rPr>
          <w:noProof/>
          <w:sz w:val="24"/>
          <w:szCs w:val="24"/>
        </w:rPr>
        <w:lastRenderedPageBreak/>
        <w:drawing>
          <wp:inline distT="0" distB="0" distL="0" distR="0" wp14:anchorId="00E97BCC" wp14:editId="471BCC9F">
            <wp:extent cx="5400040" cy="4319905"/>
            <wp:effectExtent l="0" t="0" r="0" b="4445"/>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r>
        <w:rPr>
          <w:sz w:val="24"/>
          <w:szCs w:val="24"/>
        </w:rPr>
        <w:t xml:space="preserve"> </w:t>
      </w:r>
    </w:p>
    <w:p w14:paraId="6E9D21AB" w14:textId="21965E97" w:rsidR="00972E1B" w:rsidRDefault="00972E1B" w:rsidP="00CE7B16">
      <w:pPr>
        <w:rPr>
          <w:sz w:val="24"/>
          <w:szCs w:val="24"/>
        </w:rPr>
      </w:pPr>
      <w:r>
        <w:rPr>
          <w:sz w:val="24"/>
          <w:szCs w:val="24"/>
        </w:rPr>
        <w:t xml:space="preserve">Igualmente, he entrado a ver en detalle los casos de Gran Canaria y Tenerife, las dos zonas con </w:t>
      </w:r>
      <w:r w:rsidR="00A76E72">
        <w:rPr>
          <w:sz w:val="24"/>
          <w:szCs w:val="24"/>
        </w:rPr>
        <w:t xml:space="preserve">más </w:t>
      </w:r>
      <w:r>
        <w:rPr>
          <w:sz w:val="24"/>
          <w:szCs w:val="24"/>
        </w:rPr>
        <w:t xml:space="preserve">plazas disponibles dentro de Canarias. </w:t>
      </w:r>
      <w:r w:rsidR="00FA1D56">
        <w:rPr>
          <w:sz w:val="24"/>
          <w:szCs w:val="24"/>
        </w:rPr>
        <w:t>Analizando sus medias móviles con los cinco meses anteriores</w:t>
      </w:r>
      <w:r w:rsidR="00BD7A07">
        <w:rPr>
          <w:sz w:val="24"/>
          <w:szCs w:val="24"/>
        </w:rPr>
        <w:t xml:space="preserve"> efectivamente se corrobora que la tendencia es positiva, pero aún con valores inferiores a los anteriores a la pandemia. Es por ello que podemos confirmar que en Canarias no se cumple nuestra hipótesis. </w:t>
      </w:r>
      <w:r>
        <w:rPr>
          <w:noProof/>
          <w:sz w:val="24"/>
          <w:szCs w:val="24"/>
        </w:rPr>
        <w:lastRenderedPageBreak/>
        <w:drawing>
          <wp:inline distT="0" distB="0" distL="0" distR="0" wp14:anchorId="352E4959" wp14:editId="30BAF9C4">
            <wp:extent cx="5400040" cy="4319905"/>
            <wp:effectExtent l="0" t="0" r="0" b="4445"/>
            <wp:docPr id="14" name="Imagen 14"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r>
        <w:rPr>
          <w:noProof/>
          <w:sz w:val="24"/>
          <w:szCs w:val="24"/>
        </w:rPr>
        <w:drawing>
          <wp:inline distT="0" distB="0" distL="0" distR="0" wp14:anchorId="00B4770A" wp14:editId="50C515B8">
            <wp:extent cx="5400040" cy="4319905"/>
            <wp:effectExtent l="0" t="0" r="0" b="4445"/>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46C28300" w14:textId="7F7F4C0D" w:rsidR="00DF6BF4" w:rsidRDefault="00DF6BF4" w:rsidP="00CE7B16">
      <w:pPr>
        <w:rPr>
          <w:sz w:val="24"/>
          <w:szCs w:val="24"/>
        </w:rPr>
      </w:pPr>
      <w:r>
        <w:rPr>
          <w:sz w:val="24"/>
          <w:szCs w:val="24"/>
        </w:rPr>
        <w:lastRenderedPageBreak/>
        <w:t xml:space="preserve">La última zona analizada en cuanto a plazas disponibles es Cataluña. </w:t>
      </w:r>
      <w:r>
        <w:rPr>
          <w:noProof/>
          <w:sz w:val="24"/>
          <w:szCs w:val="24"/>
        </w:rPr>
        <w:drawing>
          <wp:inline distT="0" distB="0" distL="0" distR="0" wp14:anchorId="2D353C28" wp14:editId="7AFAB85A">
            <wp:extent cx="5400040" cy="4319905"/>
            <wp:effectExtent l="0" t="0" r="0" b="4445"/>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51959C90" w14:textId="3934F26B" w:rsidR="00DF6BF4" w:rsidRDefault="00DF6BF4" w:rsidP="00CE7B16">
      <w:pPr>
        <w:rPr>
          <w:sz w:val="24"/>
          <w:szCs w:val="24"/>
        </w:rPr>
      </w:pPr>
      <w:r>
        <w:rPr>
          <w:sz w:val="24"/>
          <w:szCs w:val="24"/>
        </w:rPr>
        <w:t xml:space="preserve">En Cataluña se ven dos grandes casos. Por un lado, las zonas que tienen un componente estacional, como es la zona de la </w:t>
      </w:r>
      <w:r w:rsidR="00A76E72">
        <w:rPr>
          <w:sz w:val="24"/>
          <w:szCs w:val="24"/>
        </w:rPr>
        <w:t>C</w:t>
      </w:r>
      <w:r>
        <w:rPr>
          <w:sz w:val="24"/>
          <w:szCs w:val="24"/>
        </w:rPr>
        <w:t xml:space="preserve">osta </w:t>
      </w:r>
      <w:r w:rsidR="00A76E72">
        <w:rPr>
          <w:sz w:val="24"/>
          <w:szCs w:val="24"/>
        </w:rPr>
        <w:t>B</w:t>
      </w:r>
      <w:r>
        <w:rPr>
          <w:sz w:val="24"/>
          <w:szCs w:val="24"/>
        </w:rPr>
        <w:t xml:space="preserve">rava o de la </w:t>
      </w:r>
      <w:r w:rsidR="00A76E72">
        <w:rPr>
          <w:sz w:val="24"/>
          <w:szCs w:val="24"/>
        </w:rPr>
        <w:t>C</w:t>
      </w:r>
      <w:r>
        <w:rPr>
          <w:sz w:val="24"/>
          <w:szCs w:val="24"/>
        </w:rPr>
        <w:t xml:space="preserve">osta </w:t>
      </w:r>
      <w:r w:rsidR="00A76E72">
        <w:rPr>
          <w:sz w:val="24"/>
          <w:szCs w:val="24"/>
        </w:rPr>
        <w:t>D</w:t>
      </w:r>
      <w:r>
        <w:rPr>
          <w:sz w:val="24"/>
          <w:szCs w:val="24"/>
        </w:rPr>
        <w:t xml:space="preserve">orada. En el caso concreto de la </w:t>
      </w:r>
      <w:r w:rsidR="00A76E72">
        <w:rPr>
          <w:sz w:val="24"/>
          <w:szCs w:val="24"/>
        </w:rPr>
        <w:t>C</w:t>
      </w:r>
      <w:r>
        <w:rPr>
          <w:sz w:val="24"/>
          <w:szCs w:val="24"/>
        </w:rPr>
        <w:t xml:space="preserve">osta </w:t>
      </w:r>
      <w:r w:rsidR="00A76E72">
        <w:rPr>
          <w:sz w:val="24"/>
          <w:szCs w:val="24"/>
        </w:rPr>
        <w:t>B</w:t>
      </w:r>
      <w:r>
        <w:rPr>
          <w:sz w:val="24"/>
          <w:szCs w:val="24"/>
        </w:rPr>
        <w:t>rava, hay un incremento significativo de pla</w:t>
      </w:r>
      <w:r w:rsidR="00A76E72">
        <w:rPr>
          <w:sz w:val="24"/>
          <w:szCs w:val="24"/>
        </w:rPr>
        <w:t>zas</w:t>
      </w:r>
      <w:r>
        <w:rPr>
          <w:sz w:val="24"/>
          <w:szCs w:val="24"/>
        </w:rPr>
        <w:t xml:space="preserve"> disponibles. Esto puede deberse a nueva</w:t>
      </w:r>
      <w:r w:rsidR="00A76E72">
        <w:rPr>
          <w:sz w:val="24"/>
          <w:szCs w:val="24"/>
        </w:rPr>
        <w:t>s</w:t>
      </w:r>
      <w:r>
        <w:rPr>
          <w:sz w:val="24"/>
          <w:szCs w:val="24"/>
        </w:rPr>
        <w:t xml:space="preserve"> apertura</w:t>
      </w:r>
      <w:r w:rsidR="00A76E72">
        <w:rPr>
          <w:sz w:val="24"/>
          <w:szCs w:val="24"/>
        </w:rPr>
        <w:t>s</w:t>
      </w:r>
      <w:r>
        <w:rPr>
          <w:sz w:val="24"/>
          <w:szCs w:val="24"/>
        </w:rPr>
        <w:t xml:space="preserve"> o </w:t>
      </w:r>
      <w:r w:rsidR="00A76E72">
        <w:rPr>
          <w:sz w:val="24"/>
          <w:szCs w:val="24"/>
        </w:rPr>
        <w:t xml:space="preserve">a </w:t>
      </w:r>
      <w:r>
        <w:rPr>
          <w:sz w:val="24"/>
          <w:szCs w:val="24"/>
        </w:rPr>
        <w:t>reapertura</w:t>
      </w:r>
      <w:r w:rsidR="00A76E72">
        <w:rPr>
          <w:sz w:val="24"/>
          <w:szCs w:val="24"/>
        </w:rPr>
        <w:t>s</w:t>
      </w:r>
      <w:r>
        <w:rPr>
          <w:sz w:val="24"/>
          <w:szCs w:val="24"/>
        </w:rPr>
        <w:t xml:space="preserve"> tras renovación de establecimientos turísticos. Y en el otro lado de Cataluña vemos las zonas donde las plazas disponibles se mantienen constantes en el tiempo. Es el caso de Barcelona, donde </w:t>
      </w:r>
      <w:r w:rsidR="00D116D3">
        <w:rPr>
          <w:sz w:val="24"/>
          <w:szCs w:val="24"/>
        </w:rPr>
        <w:t xml:space="preserve">la apertura de nuevos establecimientos está </w:t>
      </w:r>
      <w:r w:rsidR="00A76E72">
        <w:rPr>
          <w:sz w:val="24"/>
          <w:szCs w:val="24"/>
        </w:rPr>
        <w:t xml:space="preserve">muy </w:t>
      </w:r>
      <w:r w:rsidR="00D116D3">
        <w:rPr>
          <w:sz w:val="24"/>
          <w:szCs w:val="24"/>
        </w:rPr>
        <w:t>controlada</w:t>
      </w:r>
      <w:r>
        <w:rPr>
          <w:sz w:val="24"/>
          <w:szCs w:val="24"/>
        </w:rPr>
        <w:t xml:space="preserve"> por el ayuntamiento y requieren previa aprobación por el mismo. </w:t>
      </w:r>
    </w:p>
    <w:p w14:paraId="1138E932" w14:textId="44D3F51D" w:rsidR="00F656DF" w:rsidRDefault="00F656DF" w:rsidP="00CE7B16">
      <w:pPr>
        <w:rPr>
          <w:sz w:val="28"/>
          <w:szCs w:val="28"/>
          <w:u w:val="single"/>
        </w:rPr>
      </w:pPr>
      <w:r w:rsidRPr="00F656DF">
        <w:rPr>
          <w:sz w:val="28"/>
          <w:szCs w:val="28"/>
          <w:u w:val="single"/>
        </w:rPr>
        <w:t xml:space="preserve">Conclusión: </w:t>
      </w:r>
    </w:p>
    <w:p w14:paraId="0CE0F326" w14:textId="1EC87704" w:rsidR="00F656DF" w:rsidRDefault="00F656DF" w:rsidP="00CE7B16">
      <w:pPr>
        <w:rPr>
          <w:sz w:val="24"/>
          <w:szCs w:val="24"/>
        </w:rPr>
      </w:pPr>
      <w:r>
        <w:rPr>
          <w:sz w:val="24"/>
          <w:szCs w:val="24"/>
        </w:rPr>
        <w:t>Después de nuestro análisis</w:t>
      </w:r>
      <w:r w:rsidR="00A76E72">
        <w:rPr>
          <w:sz w:val="24"/>
          <w:szCs w:val="24"/>
        </w:rPr>
        <w:t>, hemos podido corroborar nuestra hipótesis para todos los indicadores nacionales y en las zonas analizadas excepto Canarias.</w:t>
      </w:r>
      <w:r>
        <w:rPr>
          <w:sz w:val="24"/>
          <w:szCs w:val="24"/>
        </w:rPr>
        <w:t xml:space="preserve"> Del estudio se concluye que </w:t>
      </w:r>
      <w:r w:rsidR="00A76E72">
        <w:rPr>
          <w:sz w:val="24"/>
          <w:szCs w:val="24"/>
        </w:rPr>
        <w:t>ésta es</w:t>
      </w:r>
      <w:r>
        <w:rPr>
          <w:sz w:val="24"/>
          <w:szCs w:val="24"/>
        </w:rPr>
        <w:t xml:space="preserve"> </w:t>
      </w:r>
      <w:r w:rsidR="00A76E72">
        <w:rPr>
          <w:sz w:val="24"/>
          <w:szCs w:val="24"/>
        </w:rPr>
        <w:t xml:space="preserve">la </w:t>
      </w:r>
      <w:r>
        <w:rPr>
          <w:sz w:val="24"/>
          <w:szCs w:val="24"/>
        </w:rPr>
        <w:t xml:space="preserve">única zona donde aún no se han llegado a esos </w:t>
      </w:r>
      <w:r w:rsidR="0067692B">
        <w:rPr>
          <w:sz w:val="24"/>
          <w:szCs w:val="24"/>
        </w:rPr>
        <w:t>niveles prepandémicos</w:t>
      </w:r>
      <w:r w:rsidR="009330A3">
        <w:rPr>
          <w:sz w:val="24"/>
          <w:szCs w:val="24"/>
        </w:rPr>
        <w:t>, aunque s</w:t>
      </w:r>
      <w:r w:rsidR="00A76E72">
        <w:rPr>
          <w:sz w:val="24"/>
          <w:szCs w:val="24"/>
        </w:rPr>
        <w:t>í</w:t>
      </w:r>
      <w:r w:rsidR="009330A3">
        <w:rPr>
          <w:sz w:val="24"/>
          <w:szCs w:val="24"/>
        </w:rPr>
        <w:t xml:space="preserve"> se observa una tendencia positiva y quizás, aunque más dilatado en el tiempo, pero también se pueda confirmar dicha hipótesis</w:t>
      </w:r>
      <w:r w:rsidR="00A76E72">
        <w:rPr>
          <w:sz w:val="24"/>
          <w:szCs w:val="24"/>
        </w:rPr>
        <w:t xml:space="preserve"> el próximo año</w:t>
      </w:r>
      <w:r w:rsidR="009330A3">
        <w:rPr>
          <w:sz w:val="24"/>
          <w:szCs w:val="24"/>
        </w:rPr>
        <w:t xml:space="preserve">. </w:t>
      </w:r>
    </w:p>
    <w:p w14:paraId="0534497F" w14:textId="77777777" w:rsidR="00D116D3" w:rsidRDefault="00D116D3" w:rsidP="00CE7B16">
      <w:pPr>
        <w:rPr>
          <w:sz w:val="24"/>
          <w:szCs w:val="24"/>
        </w:rPr>
      </w:pPr>
    </w:p>
    <w:p w14:paraId="1B5170A4" w14:textId="77777777" w:rsidR="00D116D3" w:rsidRDefault="00D116D3" w:rsidP="00CE7B16">
      <w:pPr>
        <w:rPr>
          <w:sz w:val="24"/>
          <w:szCs w:val="24"/>
        </w:rPr>
      </w:pPr>
    </w:p>
    <w:p w14:paraId="01D251E1" w14:textId="77777777" w:rsidR="00D116D3" w:rsidRPr="00CE7B16" w:rsidRDefault="00D116D3" w:rsidP="00CE7B16">
      <w:pPr>
        <w:rPr>
          <w:sz w:val="24"/>
          <w:szCs w:val="24"/>
        </w:rPr>
      </w:pPr>
    </w:p>
    <w:sectPr w:rsidR="00D116D3" w:rsidRPr="00CE7B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31356A"/>
    <w:multiLevelType w:val="hybridMultilevel"/>
    <w:tmpl w:val="E926F904"/>
    <w:lvl w:ilvl="0" w:tplc="B5AACF3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89541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B16"/>
    <w:rsid w:val="00044BC0"/>
    <w:rsid w:val="000A4C49"/>
    <w:rsid w:val="0010642E"/>
    <w:rsid w:val="002B01F6"/>
    <w:rsid w:val="002B2ACB"/>
    <w:rsid w:val="002E62C8"/>
    <w:rsid w:val="004107AB"/>
    <w:rsid w:val="00436485"/>
    <w:rsid w:val="00454A7D"/>
    <w:rsid w:val="004B6FC3"/>
    <w:rsid w:val="00562A6C"/>
    <w:rsid w:val="006254F6"/>
    <w:rsid w:val="0067692B"/>
    <w:rsid w:val="006B3DCB"/>
    <w:rsid w:val="00707931"/>
    <w:rsid w:val="00723F51"/>
    <w:rsid w:val="007E2CDF"/>
    <w:rsid w:val="00830380"/>
    <w:rsid w:val="00864BA1"/>
    <w:rsid w:val="009232A4"/>
    <w:rsid w:val="009330A3"/>
    <w:rsid w:val="00936077"/>
    <w:rsid w:val="00961B26"/>
    <w:rsid w:val="00972E1B"/>
    <w:rsid w:val="009E45A3"/>
    <w:rsid w:val="009E603A"/>
    <w:rsid w:val="00A47160"/>
    <w:rsid w:val="00A55A54"/>
    <w:rsid w:val="00A76E72"/>
    <w:rsid w:val="00A84863"/>
    <w:rsid w:val="00B10597"/>
    <w:rsid w:val="00B47232"/>
    <w:rsid w:val="00BD7A07"/>
    <w:rsid w:val="00C13D2F"/>
    <w:rsid w:val="00C961CA"/>
    <w:rsid w:val="00CE7B16"/>
    <w:rsid w:val="00D116D3"/>
    <w:rsid w:val="00D11FBD"/>
    <w:rsid w:val="00D53508"/>
    <w:rsid w:val="00DC4A41"/>
    <w:rsid w:val="00DF5E6F"/>
    <w:rsid w:val="00DF6BF4"/>
    <w:rsid w:val="00E65E69"/>
    <w:rsid w:val="00F656DF"/>
    <w:rsid w:val="00FA1D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FA3F5"/>
  <w15:chartTrackingRefBased/>
  <w15:docId w15:val="{2BE022FB-5D3E-413E-B46C-498AF552C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E62C8"/>
    <w:pPr>
      <w:ind w:left="720"/>
      <w:contextualSpacing/>
    </w:pPr>
  </w:style>
  <w:style w:type="character" w:styleId="Hipervnculo">
    <w:name w:val="Hyperlink"/>
    <w:basedOn w:val="Fuentedeprrafopredeter"/>
    <w:uiPriority w:val="99"/>
    <w:unhideWhenUsed/>
    <w:rsid w:val="00723F51"/>
    <w:rPr>
      <w:color w:val="0000FF"/>
      <w:u w:val="single"/>
    </w:rPr>
  </w:style>
  <w:style w:type="character" w:styleId="Mencinsinresolver">
    <w:name w:val="Unresolved Mention"/>
    <w:basedOn w:val="Fuentedeprrafopredeter"/>
    <w:uiPriority w:val="99"/>
    <w:semiHidden/>
    <w:unhideWhenUsed/>
    <w:rsid w:val="00723F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e.es/dynt3/inebase/index.htm?padre=252&amp;capsel=25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datos.gob.es/en/catalogo?q=andalucia&amp;theme_id=turismo&amp;sort=score+desc%2C+metadata_created+desc&amp;page=1)"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datosgob.es"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07D5C-B872-40CD-8F28-4D631F540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13</Pages>
  <Words>1495</Words>
  <Characters>8226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Ruiz Gonzalez</dc:creator>
  <cp:keywords/>
  <dc:description/>
  <cp:lastModifiedBy>Rocio Ruiz Gonzalez</cp:lastModifiedBy>
  <cp:revision>31</cp:revision>
  <dcterms:created xsi:type="dcterms:W3CDTF">2022-11-10T14:01:00Z</dcterms:created>
  <dcterms:modified xsi:type="dcterms:W3CDTF">2022-11-12T22:43:00Z</dcterms:modified>
</cp:coreProperties>
</file>