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ahoma" w:hAnsi="Tahoma" w:eastAsia="Tahoma"/>
          <w:b/>
          <w:color w:val="1F3864"/>
          <w:sz w:val="48"/>
        </w:rPr>
        <w:t>CASO DE ESTUDIO PMD1</w:t>
      </w:r>
    </w:p>
    <w:p>
      <w:pPr>
        <w:spacing w:after="40"/>
      </w:pPr>
      <w:r>
        <w:rPr>
          <w:rFonts w:ascii="Tahoma" w:hAnsi="Tahoma" w:eastAsia="Tahoma"/>
          <w:b/>
          <w:color w:val="2E75B6"/>
          <w:sz w:val="28"/>
        </w:rPr>
        <w:t>Caso 10 · Logística - Envíos y costo</w:t>
      </w:r>
    </w:p>
    <w:p>
      <w:pPr>
        <w:spacing w:after="160"/>
      </w:pPr>
      <w:r>
        <w:rPr>
          <w:rFonts w:ascii="Tahoma" w:hAnsi="Tahoma" w:eastAsia="Tahoma"/>
          <w:color w:val="404040"/>
          <w:sz w:val="19"/>
        </w:rPr>
        <w:t>Fundamentos de Gestión de Datos · Periodo 2026-II · Semanas 1 a 7, con sustentación en la Semana 8</w:t>
      </w:r>
    </w:p>
    <w:p>
      <w:pPr>
        <w:pStyle w:val="Heading1"/>
      </w:pPr>
      <w:r>
        <w:t>1. Información general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6973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Curso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Fundamentos de Gestión de Datos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Evaluación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PMD1 · Proyecto Integrador de Datos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Caso asignado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10 · Logística - Envíos y costo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Modalidad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Grupal. Cada grupo trabaja un caso distinto, asignado o aprobado por la docente.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Entorno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Google Colab, SQLite, Python, pandas, scikit-learn y GitHub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Alcance técnico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Integración SQL, EDA y limpieza con pandas, regresión lineal simple y K-Means.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Archivo de datos</w:t>
            </w:r>
          </w:p>
        </w:tc>
        <w:tc>
          <w:tcPr>
            <w:tcW w:type="dxa" w:w="6973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10_Logistica_PMD1.xlsx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Unidad de análisis</w:t>
            </w:r>
          </w:p>
        </w:tc>
        <w:tc>
          <w:tcPr>
            <w:tcW w:type="dxa" w:w="6973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Cada fila de la hoja Operaciones es un envío.</w:t>
            </w:r>
          </w:p>
        </w:tc>
      </w:tr>
    </w:tbl>
    <w:p>
      <w:pPr>
        <w:spacing w:after="40"/>
      </w:pPr>
    </w:p>
    <w:p>
      <w:pPr>
        <w:pStyle w:val="Heading1"/>
      </w:pPr>
      <w:r>
        <w:t>2. Desarrollo del escenario</w:t>
      </w:r>
    </w:p>
    <w:p>
      <w:r>
        <w:rPr>
          <w:rFonts w:ascii="Tahoma" w:hAnsi="Tahoma" w:eastAsia="Tahoma"/>
          <w:b/>
          <w:color w:val="1F3864"/>
        </w:rPr>
        <w:t xml:space="preserve">Contexto del negocio: </w:t>
      </w:r>
      <w:r>
        <w:rPr>
          <w:rFonts w:ascii="Tahoma" w:hAnsi="Tahoma" w:eastAsia="Tahoma"/>
        </w:rPr>
        <w:t>Una empresa de transporte de carga con cinco centros de distribución registra cada envío: el cliente, el tipo de mercadería (equipo, repuesto, mueble, paquete, insumo), el centro de salida, el volumen, el peso y la distancia. La información viene del área comercial y de los conductores, con vacíos, envíos registrados dos veces y fechas escritas de varias maneras.</w:t>
      </w:r>
    </w:p>
    <w:p>
      <w:r>
        <w:rPr>
          <w:rFonts w:ascii="Tahoma" w:hAnsi="Tahoma" w:eastAsia="Tahoma"/>
          <w:b/>
          <w:color w:val="1F3864"/>
        </w:rPr>
        <w:t xml:space="preserve">Necesidad del negocio: </w:t>
      </w:r>
      <w:r>
        <w:rPr>
          <w:rFonts w:ascii="Tahoma" w:hAnsi="Tahoma" w:eastAsia="Tahoma"/>
        </w:rPr>
        <w:t>El área comercial cotiza hoy cada envío a criterio del vendedor y los costos reales no siempre se cubren. Quiere estimar el costo según el volumen despachado y reconocer tipos de envío (voluminosos y ligeros, pesados y compactos, de larga distancia) para ordenar su tarifario.</w:t>
      </w:r>
    </w:p>
    <w:p>
      <w:r>
        <w:rPr>
          <w:rFonts w:ascii="Tahoma" w:hAnsi="Tahoma" w:eastAsia="Tahoma"/>
          <w:b/>
          <w:color w:val="1F3864"/>
        </w:rPr>
        <w:t xml:space="preserve">Punto de quiebre: </w:t>
      </w:r>
      <w:r>
        <w:rPr>
          <w:rFonts w:ascii="Tahoma" w:hAnsi="Tahoma" w:eastAsia="Tahoma"/>
        </w:rPr>
        <w:t>Los datos no llegan listos para analizar: están repartidos en cuatro hojas, tienen vacíos, registros repetidos, fechas escritas de formas distintas y espacios de más en los textos. El equipo debe integrarlos, decidir cómo limpiarlos y justificar cada decisión antes de sacar conclusiones.</w:t>
      </w:r>
    </w:p>
    <w:p>
      <w:r>
        <w:rPr>
          <w:rFonts w:ascii="Tahoma" w:hAnsi="Tahoma" w:eastAsia="Tahoma"/>
          <w:b/>
          <w:color w:val="1F3864"/>
        </w:rPr>
        <w:t xml:space="preserve">Pregunta guía del caso: </w:t>
      </w:r>
      <w:r>
        <w:rPr>
          <w:rFonts w:ascii="Tahoma" w:hAnsi="Tahoma" w:eastAsia="Tahoma"/>
        </w:rPr>
        <w:t>¿Cuántos soles adicionales cuesta enviar cada metro cúbico más de volumen y qué tipos de envío merecen una tarifa propia?</w:t>
      </w:r>
    </w:p>
    <w:p>
      <w:pPr>
        <w:pStyle w:val="Heading1"/>
      </w:pPr>
      <w:r>
        <w:t>3. Datos del caso</w:t>
      </w:r>
    </w:p>
    <w:p>
      <w:r>
        <w:rPr>
          <w:rFonts w:ascii="Tahoma" w:hAnsi="Tahoma" w:eastAsia="Tahoma"/>
        </w:rPr>
        <w:t>El archivo 10_Logistica_PMD1.xlsx contiene datos inventados para práctica (soles peruanos); no son observaciones reales. Se descarga desde el repositorio de GitHub del curso y tiene cinco hojas: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762"/>
        <w:gridCol w:w="3005"/>
      </w:tblGrid>
      <w:tr>
        <w:tc>
          <w:tcPr>
            <w:tcW w:type="dxa" w:w="1587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Hoja</w:t>
            </w:r>
          </w:p>
        </w:tc>
        <w:tc>
          <w:tcPr>
            <w:tcW w:type="dxa" w:w="4762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Contenido</w:t>
            </w:r>
          </w:p>
        </w:tc>
        <w:tc>
          <w:tcPr>
            <w:tcW w:type="dxa" w:w="3005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Clave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LEEME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Origen, unidad operativa y notas generales del caso.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—</w:t>
            </w:r>
          </w:p>
        </w:tc>
      </w:tr>
      <w:tr>
        <w:tc>
          <w:tcPr>
            <w:tcW w:type="dxa" w:w="1587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Operaciones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Una fila por envío: fecha, variables numéricas y claves hacia las demás hojas.</w:t>
            </w:r>
          </w:p>
        </w:tc>
        <w:tc>
          <w:tcPr>
            <w:tcW w:type="dxa" w:w="3005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id_operacion (PK); id_cliente, id_catalogo, id_sede (FK)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Clientes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Cliente remitente: nombre, ciudad y antigüedad en meses.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id_cliente (PK)</w:t>
            </w:r>
          </w:p>
        </w:tc>
      </w:tr>
      <w:tr>
        <w:tc>
          <w:tcPr>
            <w:tcW w:type="dxa" w:w="1587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Catalogo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Mercadería (equipo, repuesto, mueble, paquete, insumo), con su nivel y precio de referencia en soles.</w:t>
            </w:r>
          </w:p>
        </w:tc>
        <w:tc>
          <w:tcPr>
            <w:tcW w:type="dxa" w:w="3005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id_catalogo (PK)</w:t>
            </w:r>
          </w:p>
        </w:tc>
      </w:tr>
      <w:tr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Sedes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Centro de distribución: nombre y zona.</w:t>
            </w:r>
          </w:p>
        </w:tc>
        <w:tc>
          <w:tcPr>
            <w:tcW w:type="dxa" w:w="3005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id_sede (PK)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/>
          <w:sz w:val="21"/>
        </w:rPr>
        <w:t>Variables numéricas de la hoja Operaciones: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4649"/>
        <w:gridCol w:w="1984"/>
      </w:tblGrid>
      <w:tr>
        <w:tc>
          <w:tcPr>
            <w:tcW w:type="dxa" w:w="2721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649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Qué mide</w:t>
            </w:r>
          </w:p>
        </w:tc>
        <w:tc>
          <w:tcPr>
            <w:tcW w:type="dxa" w:w="1984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Unidad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volumen_m3</w:t>
            </w:r>
          </w:p>
        </w:tc>
        <w:tc>
          <w:tcPr>
            <w:tcW w:type="dxa" w:w="464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Volumen del envío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m³</w:t>
            </w:r>
          </w:p>
        </w:tc>
      </w:tr>
      <w:tr>
        <w:tc>
          <w:tcPr>
            <w:tcW w:type="dxa" w:w="272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peso_kg</w:t>
            </w:r>
          </w:p>
        </w:tc>
        <w:tc>
          <w:tcPr>
            <w:tcW w:type="dxa" w:w="4649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Peso del envío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kg</w:t>
            </w:r>
          </w:p>
        </w:tc>
      </w:tr>
      <w:tr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distancia_km</w:t>
            </w:r>
          </w:p>
        </w:tc>
        <w:tc>
          <w:tcPr>
            <w:tcW w:type="dxa" w:w="464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Distancia del trayecto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km</w:t>
            </w:r>
          </w:p>
        </w:tc>
      </w:tr>
      <w:tr>
        <w:tc>
          <w:tcPr>
            <w:tcW w:type="dxa" w:w="2721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9"/>
              </w:rPr>
              <w:t>costo_envio_soles</w:t>
            </w:r>
          </w:p>
        </w:tc>
        <w:tc>
          <w:tcPr>
            <w:tcW w:type="dxa" w:w="4649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Costo del envío</w:t>
            </w:r>
          </w:p>
        </w:tc>
        <w:tc>
          <w:tcPr>
            <w:tcW w:type="dxa" w:w="1984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soles (S/)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/>
          <w:sz w:val="20"/>
        </w:rPr>
        <w:t>El equipo debe verificar si cada relación entre hojas funciona (por ejemplo, claves de Operaciones que no existan en otra hoja) y no dar por supuesto que las cifras son correctas: revisar rangos, unidades y valores atípicos forma parte del trabajo.</w:t>
      </w:r>
    </w:p>
    <w:p>
      <w:pPr>
        <w:pStyle w:val="Heading1"/>
      </w:pPr>
      <w:r>
        <w:t>4. Objetivos del proyecto</w:t>
      </w:r>
    </w:p>
    <w:p>
      <w:pPr>
        <w:pStyle w:val="ListBullet"/>
        <w:spacing w:after="60"/>
      </w:pPr>
      <w:r>
        <w:rPr>
          <w:rFonts w:ascii="Tahoma" w:hAnsi="Tahoma" w:eastAsia="Tahoma"/>
        </w:rPr>
        <w:t>Cargar las hojas del Excel desde GitHub, crear una base SQLite y relacionar las tablas con claves primarias y foráneas.</w:t>
      </w:r>
    </w:p>
    <w:p>
      <w:pPr>
        <w:pStyle w:val="ListBullet"/>
        <w:spacing w:after="60"/>
      </w:pPr>
      <w:r>
        <w:rPr>
          <w:rFonts w:ascii="Tahoma" w:hAnsi="Tahoma" w:eastAsia="Tahoma"/>
        </w:rPr>
        <w:t>Construir consultas SQL (selección, filtros, agregaciones y JOIN) que respondan preguntas del negocio.</w:t>
      </w:r>
    </w:p>
    <w:p>
      <w:pPr>
        <w:pStyle w:val="ListBullet"/>
        <w:spacing w:after="60"/>
      </w:pPr>
      <w:r>
        <w:rPr>
          <w:rFonts w:ascii="Tahoma" w:hAnsi="Tahoma" w:eastAsia="Tahoma"/>
        </w:rPr>
        <w:t>Explorar los datos con pandas y gráficos, y detectar nulos, duplicados, formatos de fecha, espacios, tipos y valores extremos.</w:t>
      </w:r>
    </w:p>
    <w:p>
      <w:pPr>
        <w:pStyle w:val="ListBullet"/>
        <w:spacing w:after="60"/>
      </w:pPr>
      <w:r>
        <w:rPr>
          <w:rFonts w:ascii="Tahoma" w:hAnsi="Tahoma" w:eastAsia="Tahoma"/>
        </w:rPr>
        <w:t>Limpiar los datos documentando, con cifras de antes y después, cada decisión tomada.</w:t>
      </w:r>
    </w:p>
    <w:p>
      <w:pPr>
        <w:pStyle w:val="ListBullet"/>
        <w:spacing w:after="60"/>
      </w:pPr>
      <w:r>
        <w:rPr>
          <w:rFonts w:ascii="Tahoma" w:hAnsi="Tahoma" w:eastAsia="Tahoma"/>
        </w:rPr>
        <w:t>Estimar con regresión lineal simple la relación entre volumen_m3 y costo_envio_soles, y evaluar el modelo con datos de prueba.</w:t>
      </w:r>
    </w:p>
    <w:p>
      <w:pPr>
        <w:pStyle w:val="ListBullet"/>
        <w:spacing w:after="60"/>
      </w:pPr>
      <w:r>
        <w:rPr>
          <w:rFonts w:ascii="Tahoma" w:hAnsi="Tahoma" w:eastAsia="Tahoma"/>
        </w:rPr>
        <w:t>Segmentar las filas con K-Means, justificar el número de grupos y describir el perfil de cada uno.</w:t>
      </w:r>
    </w:p>
    <w:p>
      <w:pPr>
        <w:pStyle w:val="ListBullet"/>
        <w:spacing w:after="60"/>
      </w:pPr>
      <w:r>
        <w:rPr>
          <w:rFonts w:ascii="Tahoma" w:hAnsi="Tahoma" w:eastAsia="Tahoma"/>
        </w:rPr>
        <w:t>Comunicar una recomendación para el negocio, sustentada en cifras y con sus límites explícitos.</w:t>
      </w:r>
    </w:p>
    <w:p>
      <w:pPr>
        <w:pStyle w:val="Heading1"/>
      </w:pPr>
      <w:r>
        <w:t>5. Instrucciones de trabajo</w:t>
      </w:r>
    </w:p>
    <w:p>
      <w:pPr>
        <w:pStyle w:val="Heading2"/>
      </w:pPr>
      <w:r>
        <w:t>Fase 1 · Integración con SQL</w:t>
      </w:r>
    </w:p>
    <w:p>
      <w:pPr>
        <w:pStyle w:val="ListBullet"/>
        <w:spacing w:after="60"/>
      </w:pPr>
      <w:r>
        <w:rPr>
          <w:rFonts w:ascii="Tahoma" w:hAnsi="Tahoma" w:eastAsia="Tahoma"/>
        </w:rPr>
        <w:t>Descargar el Excel desde GitHub, leer sus hojas y guardarlas como tablas en una base SQLite creada en Colab.</w:t>
      </w:r>
    </w:p>
    <w:p>
      <w:pPr>
        <w:pStyle w:val="ListBullet"/>
        <w:spacing w:after="60"/>
      </w:pPr>
      <w:r>
        <w:rPr>
          <w:rFonts w:ascii="Tahoma" w:hAnsi="Tahoma" w:eastAsia="Tahoma"/>
        </w:rPr>
        <w:t>Identificar la PK de cada tabla y las FK de Operaciones; comprobar que las relaciones sean consistentes.</w:t>
      </w:r>
    </w:p>
    <w:p>
      <w:pPr>
        <w:pStyle w:val="ListBullet"/>
        <w:spacing w:after="60"/>
      </w:pPr>
      <w:r>
        <w:rPr>
          <w:rFonts w:ascii="Tahoma" w:hAnsi="Tahoma" w:eastAsia="Tahoma"/>
        </w:rPr>
        <w:t>Escribir consultas con filtros, agregaciones y JOIN entre las cuatro tablas (por ejemplo, promedios por sede o por nivel del catálogo).</w:t>
      </w:r>
    </w:p>
    <w:p>
      <w:pPr>
        <w:pStyle w:val="Heading2"/>
      </w:pPr>
      <w:r>
        <w:t>Fase 2 · EDA y limpieza con pandas</w:t>
      </w:r>
    </w:p>
    <w:p>
      <w:pPr>
        <w:pStyle w:val="ListBullet"/>
        <w:spacing w:after="60"/>
      </w:pPr>
      <w:r>
        <w:rPr>
          <w:rFonts w:ascii="Tahoma" w:hAnsi="Tahoma" w:eastAsia="Tahoma"/>
        </w:rPr>
        <w:t>Revisar la estructura con head(), info(), describe() y value_counts(), y construir al menos tres gráficos interpretados.</w:t>
      </w:r>
    </w:p>
    <w:p>
      <w:pPr>
        <w:pStyle w:val="ListBullet"/>
        <w:spacing w:after="60"/>
      </w:pPr>
      <w:r>
        <w:rPr>
          <w:rFonts w:ascii="Tahoma" w:hAnsi="Tahoma" w:eastAsia="Tahoma"/>
        </w:rPr>
        <w:t>Cuantificar nulos, duplicados, fechas en formatos distintos, espacios de más y valores extremos.</w:t>
      </w:r>
    </w:p>
    <w:p>
      <w:pPr>
        <w:pStyle w:val="ListBullet"/>
        <w:spacing w:after="60"/>
      </w:pPr>
      <w:r>
        <w:rPr>
          <w:rFonts w:ascii="Tahoma" w:hAnsi="Tahoma" w:eastAsia="Tahoma"/>
        </w:rPr>
        <w:t>Decidir y justificar el tratamiento de cada problema (eliminar, imputar, corregir o conservar) y comparar el conjunto antes y después.</w:t>
      </w:r>
    </w:p>
    <w:p>
      <w:pPr>
        <w:pStyle w:val="ListBullet"/>
        <w:spacing w:after="60"/>
      </w:pPr>
      <w:r>
        <w:rPr>
          <w:rFonts w:ascii="Tahoma" w:hAnsi="Tahoma" w:eastAsia="Tahoma"/>
        </w:rPr>
        <w:t>Guardar el resultado en SQLite con el nombre dataset_limpio.</w:t>
      </w:r>
    </w:p>
    <w:p>
      <w:pPr>
        <w:pStyle w:val="Heading2"/>
      </w:pPr>
      <w:r>
        <w:t>Fase 3 · Regresión lineal simple</w:t>
      </w:r>
    </w:p>
    <w:p>
      <w:pPr>
        <w:pStyle w:val="ListBullet"/>
        <w:spacing w:after="60"/>
      </w:pPr>
      <w:r>
        <w:rPr>
          <w:rFonts w:ascii="Tahoma" w:hAnsi="Tahoma" w:eastAsia="Tahoma"/>
        </w:rPr>
        <w:t>Plantear la pregunta con una sola variable predictora y el objetivo del caso (costo_envio_soles).</w:t>
      </w:r>
    </w:p>
    <w:p>
      <w:pPr>
        <w:pStyle w:val="ListBullet"/>
        <w:spacing w:after="60"/>
      </w:pPr>
      <w:r>
        <w:rPr>
          <w:rFonts w:ascii="Tahoma" w:hAnsi="Tahoma" w:eastAsia="Tahoma"/>
        </w:rPr>
        <w:t>Separar entrenamiento y prueba, entrenar el modelo y calcular R², MSE y RMSE sobre los datos de prueba.</w:t>
      </w:r>
    </w:p>
    <w:p>
      <w:pPr>
        <w:pStyle w:val="ListBullet"/>
        <w:spacing w:after="60"/>
      </w:pPr>
      <w:r>
        <w:rPr>
          <w:rFonts w:ascii="Tahoma" w:hAnsi="Tahoma" w:eastAsia="Tahoma"/>
        </w:rPr>
        <w:t>Interpretar el coeficiente y el intercepto en las unidades del negocio y explicar qué límites tiene el modelo.</w:t>
      </w:r>
    </w:p>
    <w:p>
      <w:pPr>
        <w:pStyle w:val="Heading2"/>
      </w:pPr>
      <w:r>
        <w:t>Fase 4 · Segmentación con K-Means</w:t>
      </w:r>
    </w:p>
    <w:p>
      <w:pPr>
        <w:pStyle w:val="ListBullet"/>
        <w:spacing w:after="60"/>
      </w:pPr>
      <w:r>
        <w:rPr>
          <w:rFonts w:ascii="Tahoma" w:hAnsi="Tahoma" w:eastAsia="Tahoma"/>
        </w:rPr>
        <w:t>Definir qué representa cada fila (un envío) y elegir las variables numéricas que describan su comportamiento.</w:t>
      </w:r>
    </w:p>
    <w:p>
      <w:pPr>
        <w:pStyle w:val="ListBullet"/>
        <w:spacing w:after="60"/>
      </w:pPr>
      <w:r>
        <w:rPr>
          <w:rFonts w:ascii="Tahoma" w:hAnsi="Tahoma" w:eastAsia="Tahoma"/>
        </w:rPr>
        <w:t>Escalar las variables, probar distintos valores de k y justificar el elegido (por ejemplo, con inercia y silueta).</w:t>
      </w:r>
    </w:p>
    <w:p>
      <w:pPr>
        <w:pStyle w:val="ListBullet"/>
        <w:spacing w:after="60"/>
      </w:pPr>
      <w:r>
        <w:rPr>
          <w:rFonts w:ascii="Tahoma" w:hAnsi="Tahoma" w:eastAsia="Tahoma"/>
        </w:rPr>
        <w:t>Describir el perfil de cada grupo en lenguaje del negocio y proponer qué acción corresponde a cada uno.</w:t>
      </w:r>
    </w:p>
    <w:p>
      <w:pPr>
        <w:pStyle w:val="ListBullet"/>
        <w:spacing w:after="60"/>
      </w:pPr>
      <w:r>
        <w:rPr>
          <w:rFonts w:ascii="Tahoma" w:hAnsi="Tahoma" w:eastAsia="Tahoma"/>
        </w:rPr>
        <w:t>Guardar las predicciones de la regresión y la asignación de grupos en tablas de SQLite.</w:t>
      </w:r>
    </w:p>
    <w:p>
      <w:pPr>
        <w:pStyle w:val="Heading2"/>
      </w:pPr>
      <w:r>
        <w:t>Fase 5 · Informe, GitHub y sustentación</w:t>
      </w:r>
    </w:p>
    <w:p>
      <w:pPr>
        <w:pStyle w:val="ListBullet"/>
        <w:spacing w:after="60"/>
      </w:pPr>
      <w:r>
        <w:rPr>
          <w:rFonts w:ascii="Tahoma" w:hAnsi="Tahoma" w:eastAsia="Tahoma"/>
        </w:rPr>
        <w:t>Publicar en un repositorio de GitHub el notebook de Colab, el informe y los datos del caso (o sus enlaces de origen).</w:t>
      </w:r>
    </w:p>
    <w:p>
      <w:pPr>
        <w:pStyle w:val="ListBullet"/>
        <w:spacing w:after="60"/>
      </w:pPr>
      <w:r>
        <w:rPr>
          <w:rFonts w:ascii="Tahoma" w:hAnsi="Tahoma" w:eastAsia="Tahoma"/>
        </w:rPr>
        <w:t>Redactar un informe técnico sin código ni capturas de código: modelo relacional, calidad de datos, métodos, resultados, conclusiones y límites.</w:t>
      </w:r>
    </w:p>
    <w:p>
      <w:pPr>
        <w:pStyle w:val="ListBullet"/>
        <w:spacing w:after="60"/>
      </w:pPr>
      <w:r>
        <w:rPr>
          <w:rFonts w:ascii="Tahoma" w:hAnsi="Tahoma" w:eastAsia="Tahoma"/>
        </w:rPr>
        <w:t>Sustentar el trabajo con el Colab abierto y ejecutable, y responder preguntas individuales sobre cualquier parte del proyecto.</w:t>
      </w:r>
    </w:p>
    <w:p>
      <w:pPr>
        <w:pStyle w:val="Heading1"/>
      </w:pPr>
      <w:r>
        <w:t>6. Código inicial para Google Colab</w:t>
      </w:r>
    </w:p>
    <w:p>
      <w:r>
        <w:rPr>
          <w:rFonts w:ascii="Tahoma" w:hAnsi="Tahoma" w:eastAsia="Tahoma"/>
          <w:sz w:val="20"/>
        </w:rPr>
        <w:t>Punto de partida mínimo: carga el Excel y crea la base SQLite. La URL apunta al repositorio del curso; si el grupo publica los datos en su propio repositorio, debe cambiarla. El resto del análisis lo construye el equipo.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F4F6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import requests, sqlite3, pandas as pd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URL = "https://raw.githubusercontent.com/Rociosayan/PMD1_Fundamentos_Gestion_Datos/main/PMD1_15_Casos_Sinteticos/10_Logistica_PMD1.xlsx"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r = requests.get(URL); r.raise_for_status()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open("10_Logistica_PMD1.xlsx", "wb").write(r.content)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# Leer todas las hojas y guardarlas como tablas SQLite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hojas = pd.read_excel("10_Logistica_PMD1.xlsx", sheet_name=None)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conn = sqlite3.connect("caso_pmd1.db")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for nombre, df in hojas.items():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if nombre != "LEEME":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     df.to_sql(nombre.lower(), conn, if_exists="replace", index=False)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# Primera consulta de reconocimiento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pd.read_sql_query("SELECT * FROM operaciones LIMIT 5", conn)</w:t>
            </w:r>
          </w:p>
        </w:tc>
      </w:tr>
    </w:tbl>
    <w:p>
      <w:pPr>
        <w:spacing w:after="40"/>
      </w:pPr>
    </w:p>
    <w:p>
      <w:pPr>
        <w:pStyle w:val="Heading1"/>
      </w:pPr>
      <w:r>
        <w:t>7. Entregables y evaluación</w:t>
      </w:r>
    </w:p>
    <w:p>
      <w:r>
        <w:rPr>
          <w:rFonts w:ascii="Tahoma" w:hAnsi="Tahoma" w:eastAsia="Tahoma"/>
        </w:rPr>
        <w:t>La nota se calcula con el mismo criterio para todos los casos; el contexto cambia, los criterios no. Los niveles de logro y su descripción están en la rúbrica oficial del curso (Rubrica_PMD1_2026II_10_Casos).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020"/>
        <w:gridCol w:w="5499"/>
      </w:tblGrid>
      <w:tr>
        <w:tc>
          <w:tcPr>
            <w:tcW w:type="dxa" w:w="2835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Puntaje</w:t>
            </w:r>
          </w:p>
        </w:tc>
        <w:tc>
          <w:tcPr>
            <w:tcW w:type="dxa" w:w="5499"/>
            <w:shd w:val="clear" w:color="auto" w:fill="1F3864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color w:val="FFFFFF"/>
                <w:sz w:val="19"/>
              </w:rPr>
              <w:t>Qué se entrega o se evalúa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Código en Google Colab (grupal)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/20</w:t>
            </w:r>
          </w:p>
        </w:tc>
        <w:tc>
          <w:tcPr>
            <w:tcW w:type="dxa" w:w="549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Notebook reproducible: carga y SQL, limpieza justificada, regresión simple, K-Means y comentarios propios.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Informe técnico (grupal)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/20</w:t>
            </w:r>
          </w:p>
        </w:tc>
        <w:tc>
          <w:tcPr>
            <w:tcW w:type="dxa" w:w="5499"/>
            <w:shd w:val="clear" w:color="auto" w:fill="F2F2F2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Entrega final /16 más checkpoint de la Semana 6 /4. Texto técnico sin código, con tablas y figuras con título, unidades y fuente.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b/>
                <w:sz w:val="19"/>
              </w:rPr>
              <w:t>Sustentación (individual)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/20</w:t>
            </w:r>
          </w:p>
        </w:tc>
        <w:tc>
          <w:tcPr>
            <w:tcW w:type="dxa" w:w="5499"/>
          </w:tcPr>
          <w:p>
            <w:pPr>
              <w:spacing w:after="40" w:before="40"/>
            </w:pPr>
            <w:r/>
            <w:r>
              <w:rPr>
                <w:rFonts w:ascii="Tahoma" w:hAnsi="Tahoma" w:eastAsia="Tahoma"/>
                <w:sz w:val="19"/>
              </w:rPr>
              <w:t>7 puntos grupales por la exposición (máx. 15 minutos) y 13 puntos individuales por las réplicas a las preguntas de la docente.</w:t>
            </w:r>
          </w:p>
        </w:tc>
      </w:tr>
    </w:tbl>
    <w:p>
      <w:pPr>
        <w:spacing w:after="40"/>
      </w:pPr>
    </w:p>
    <w:p>
      <w:r>
        <w:rPr>
          <w:rFonts w:ascii="Tahoma" w:hAnsi="Tahoma" w:eastAsia="Tahoma"/>
          <w:b/>
          <w:color w:val="1F3864"/>
        </w:rPr>
        <w:t xml:space="preserve">Cálculo: </w:t>
      </w:r>
      <w:r>
        <w:rPr>
          <w:rFonts w:ascii="Tahoma" w:hAnsi="Tahoma" w:eastAsia="Tahoma"/>
        </w:rPr>
        <w:t>Nota PMD1 = (Código Colab + Informe técnico + Sustentación) / 3.</w:t>
      </w:r>
    </w:p>
    <w:p>
      <w:pPr>
        <w:pStyle w:val="Heading1"/>
      </w:pPr>
      <w:r>
        <w:t>8. Reglas del trabajo</w:t>
      </w:r>
    </w:p>
    <w:p>
      <w:pPr>
        <w:pStyle w:val="ListBullet"/>
        <w:spacing w:after="60"/>
      </w:pPr>
      <w:r>
        <w:rPr>
          <w:rFonts w:ascii="Tahoma" w:hAnsi="Tahoma" w:eastAsia="Tahoma"/>
        </w:rPr>
        <w:t>Comentarios, interpretaciones y conclusiones deben estar escritos con palabras del equipo. Si un integrante no puede explicar una parte que se atribuye al grupo, esa capacidad se califica como No logrado.</w:t>
      </w:r>
    </w:p>
    <w:p>
      <w:pPr>
        <w:pStyle w:val="ListBullet"/>
        <w:spacing w:after="60"/>
      </w:pPr>
      <w:r>
        <w:rPr>
          <w:rFonts w:ascii="Tahoma" w:hAnsi="Tahoma" w:eastAsia="Tahoma"/>
        </w:rPr>
        <w:t>El notebook debe ejecutarse completo desde un entorno limpio, descargando los datos desde GitHub.</w:t>
      </w:r>
    </w:p>
    <w:p>
      <w:pPr>
        <w:pStyle w:val="ListBullet"/>
        <w:spacing w:after="60"/>
      </w:pPr>
      <w:r>
        <w:rPr>
          <w:rFonts w:ascii="Tahoma" w:hAnsi="Tahoma" w:eastAsia="Tahoma"/>
        </w:rPr>
        <w:t>Las cifras del informe deben coincidir con las del Colab.</w:t>
      </w:r>
    </w:p>
    <w:p>
      <w:pPr>
        <w:pStyle w:val="ListBullet"/>
        <w:spacing w:after="60"/>
      </w:pPr>
      <w:r>
        <w:rPr>
          <w:rFonts w:ascii="Tahoma" w:hAnsi="Tahoma" w:eastAsia="Tahoma"/>
        </w:rPr>
        <w:t>La entrega fuera de plazo descuenta 3 puntos del entregable afectado (apartado 5.1 del sílabo).</w:t>
      </w:r>
    </w:p>
    <w:p>
      <w:pPr>
        <w:pStyle w:val="ListBullet"/>
        <w:spacing w:after="60"/>
      </w:pPr>
      <w:r>
        <w:rPr>
          <w:rFonts w:ascii="Tahoma" w:hAnsi="Tahoma" w:eastAsia="Tahoma"/>
        </w:rPr>
        <w:t>Se permite consultar herramientas de IA, pero el equipo responde por cada decisión y debe poder reproducirla y explicarla.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Tahoma" w:hAnsi="Tahoma" w:eastAsia="Tahoma"/>
        <w:color w:val="404040"/>
        <w:sz w:val="16"/>
      </w:rPr>
      <w:t xml:space="preserve">TECSUP · Big Data y Ciencia de Datos · Docente: Pilar Rocío Sayán Mejía · Página </w:t>
    </w:r>
    <w:r>
      <w:rPr>
        <w:rFonts w:ascii="Tahoma" w:hAnsi="Tahoma" w:eastAsia="Tahoma"/>
        <w:color w:val="404040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Tahoma" w:hAnsi="Tahoma" w:eastAsia="Tahoma"/>
        <w:color w:val="404040"/>
        <w:sz w:val="16"/>
      </w:rPr>
      <w:t>Fundamentos de Gestión de Datos · 2026-II  |  PMD1 · Caso 10 LOGISTICA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ahoma" w:hAnsi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2E75B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