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jc w:val="left"/>
      </w:pPr>
      <w:r>
        <w:rPr>
          <w:rFonts w:ascii="Tahoma" w:hAnsi="Tahoma"/>
          <w:sz w:val="32"/>
        </w:rPr>
        <w:t>Proyecto Integrador 2 de Analítica Empresarial Integrada</w:t>
      </w:r>
    </w:p>
    <w:p>
      <w:pPr>
        <w:pStyle w:val="Heading2"/>
        <w:spacing w:line="276" w:lineRule="auto"/>
        <w:jc w:val="left"/>
      </w:pPr>
      <w:r>
        <w:rPr>
          <w:rFonts w:ascii="Tahoma" w:hAnsi="Tahoma"/>
          <w:sz w:val="26"/>
        </w:rPr>
        <w:t>Caso ejemplo resuelto: Patitas Andinas</w:t>
      </w:r>
    </w:p>
    <w:p>
      <w:pPr>
        <w:spacing w:line="276" w:lineRule="auto"/>
        <w:jc w:val="both"/>
      </w:pPr>
      <w:r>
        <w:rPr>
          <w:rFonts w:ascii="Tahoma" w:hAnsi="Tahoma"/>
          <w:sz w:val="24"/>
        </w:rPr>
        <w:t>TECSUP · Big Data y Ciencia de Datos · 2026-II · Docente: Pilar Rocío Sayán Mejía</w:t>
      </w:r>
    </w:p>
    <w:p>
      <w:pPr>
        <w:spacing w:line="276" w:lineRule="auto"/>
        <w:jc w:val="both"/>
      </w:pPr>
      <w:r>
        <w:rPr>
          <w:rFonts w:ascii="Tahoma" w:hAnsi="Tahoma"/>
          <w:b/>
          <w:sz w:val="24"/>
        </w:rPr>
        <w:t xml:space="preserve">Aviso. </w:t>
      </w:r>
      <w:r>
        <w:rPr>
          <w:rFonts w:ascii="Tahoma" w:hAnsi="Tahoma"/>
          <w:sz w:val="24"/>
        </w:rPr>
        <w:t>Este caso no lo desarrolla ningún grupo. Sirve para mostrar cómo se conectan las semanas 9 a 15 y qué evidencia espera la rúbrica. Los equipos deben trabajar su propio caso, con sus definiciones y con palabras propias; copiar este ejemplo no cumple la rúbrica. Los datos son sintéticos. Los presupuestos, capacidades y efectos incrementales son supuestos del enunciado y se pueden variar en el análisis de sensibilidad.</w:t>
      </w:r>
    </w:p>
    <w:p>
      <w:pPr>
        <w:spacing w:line="276" w:lineRule="auto"/>
        <w:jc w:val="both"/>
      </w:pPr>
      <w:r>
        <w:rPr>
          <w:rFonts w:ascii="Tahoma" w:hAnsi="Tahoma"/>
          <w:b/>
          <w:sz w:val="24"/>
        </w:rPr>
        <w:t xml:space="preserve">Dónde está. </w:t>
      </w:r>
      <w:r>
        <w:rPr>
          <w:rFonts w:ascii="Tahoma" w:hAnsi="Tahoma"/>
          <w:sz w:val="24"/>
        </w:rPr>
        <w:t>Repositorio del proyecto, carpeta casos/ejemplo_patitas_andinas: tablas en data, cuaderno resuelto en notebooks/EJEMPLO_PMD2_Patitas_Andinas.ipynb y aplicación web en web.</w:t>
      </w:r>
    </w:p>
    <w:p>
      <w:pPr>
        <w:pStyle w:val="Heading2"/>
        <w:spacing w:line="276" w:lineRule="auto"/>
        <w:jc w:val="left"/>
      </w:pPr>
      <w:r>
        <w:rPr>
          <w:rFonts w:ascii="Tahoma" w:hAnsi="Tahoma"/>
          <w:sz w:val="26"/>
        </w:rPr>
        <w:t>Situación empresarial</w:t>
      </w:r>
    </w:p>
    <w:p>
      <w:pPr>
        <w:spacing w:line="276" w:lineRule="auto"/>
        <w:jc w:val="both"/>
      </w:pPr>
      <w:r>
        <w:rPr>
          <w:rFonts w:ascii="Tahoma" w:hAnsi="Tahoma"/>
          <w:sz w:val="24"/>
        </w:rPr>
        <w:t>Patitas Andinas vende alimento y accesorios para mascotas por web, app y WhatsApp en Lima, Trujillo y Piura. Marketing quiere recuperar compradores que se alejan de su ritmo habitual con un descuento de primera compra. Operaciones advierte que el presupuesto de compra y el almacén son limitados y que la preparación de pedidos en Trujillo se ha vuelto más lenta. Finanzas pide demostrar el beneficio esperado y reservar stock para los pedidos sin promoción.</w:t>
      </w:r>
    </w:p>
    <w:p>
      <w:pPr>
        <w:pStyle w:val="Heading2"/>
        <w:spacing w:line="276" w:lineRule="auto"/>
        <w:jc w:val="left"/>
      </w:pPr>
      <w:r>
        <w:rPr>
          <w:rFonts w:ascii="Tahoma" w:hAnsi="Tahoma"/>
          <w:sz w:val="26"/>
        </w:rPr>
        <w:t>Decisión que debe defender el equipo</w:t>
      </w:r>
    </w:p>
    <w:p>
      <w:pPr>
        <w:spacing w:line="276" w:lineRule="auto"/>
        <w:jc w:val="both"/>
      </w:pPr>
      <w:r>
        <w:rPr>
          <w:rFonts w:ascii="Tahoma" w:hAnsi="Tahoma"/>
          <w:sz w:val="24"/>
        </w:rPr>
        <w:t>¿A qué compradores recurrentes contactar y por qué canal, cuántas unidades comprar de cada familia y cuánto presupuesto comprometer durante noviembre de 2026, bajo restricciones de presupuesto, almacenamiento, despacho y cobertura mínima?</w:t>
      </w:r>
    </w:p>
    <w:p>
      <w:pPr>
        <w:pStyle w:val="Heading2"/>
        <w:spacing w:line="276" w:lineRule="auto"/>
        <w:jc w:val="left"/>
      </w:pPr>
      <w:r>
        <w:rPr>
          <w:rFonts w:ascii="Tahoma" w:hAnsi="Tahoma"/>
          <w:sz w:val="26"/>
        </w:rPr>
        <w:t>Población y definición de abandono</w:t>
      </w:r>
    </w:p>
    <w:p>
      <w:pPr>
        <w:spacing w:line="276" w:lineRule="auto"/>
        <w:jc w:val="both"/>
      </w:pPr>
      <w:r>
        <w:rPr>
          <w:rFonts w:ascii="Tahoma" w:hAnsi="Tahoma"/>
          <w:sz w:val="24"/>
        </w:rPr>
        <w:t>Compradores con al menos dos pedidos entregados en los 180 días previos al corte. La etiqueta será ausencia de un pedido entregado en los 60 días siguientes. Esta definición identifica inactividad de compradores recurrentes, no cancelación contractual. Los cortes son el primer domingo de cada mes: entrenamiento hasta abril de 2026, validación en mayo y prueba en junio, con clientes disjuntos. El corte del 1 de noviembre de 2026 es la cartera para decidir y no sirve para elegir modelos ni umbrales.</w:t>
      </w:r>
    </w:p>
    <w:p>
      <w:pPr>
        <w:pStyle w:val="Heading2"/>
        <w:spacing w:line="276" w:lineRule="auto"/>
        <w:jc w:val="left"/>
      </w:pPr>
      <w:r>
        <w:rPr>
          <w:rFonts w:ascii="Tahoma" w:hAnsi="Tahoma"/>
          <w:sz w:val="26"/>
        </w:rPr>
        <w:t>Demanda que debe pronosticarse</w:t>
      </w:r>
    </w:p>
    <w:p>
      <w:pPr>
        <w:spacing w:line="276" w:lineRule="auto"/>
        <w:jc w:val="both"/>
      </w:pPr>
      <w:r>
        <w:rPr>
          <w:rFonts w:ascii="Tahoma" w:hAnsi="Tahoma"/>
          <w:sz w:val="24"/>
        </w:rPr>
        <w:t>Unidades solicitadas por semana y familia de producto, para cuatro semanas (2 al 29 de noviembre). Se separan solicitadas y atendidas y se registra el faltante, para no interpretar ventas censuradas por stock como demanda completa.</w:t>
      </w:r>
    </w:p>
    <w:p>
      <w:pPr>
        <w:pStyle w:val="Heading2"/>
        <w:spacing w:line="276" w:lineRule="auto"/>
        <w:jc w:val="left"/>
      </w:pPr>
      <w:r>
        <w:rPr>
          <w:rFonts w:ascii="Tahoma" w:hAnsi="Tahoma"/>
          <w:sz w:val="26"/>
        </w:rPr>
        <w:t>Presupuesto y reglas del escenario</w:t>
      </w:r>
    </w:p>
    <w:tbl>
      <w:tblPr>
        <w:tblStyle w:val="TableGrid"/>
        <w:tblW w:type="auto" w:w="0"/>
        <w:tblLook w:firstColumn="1" w:firstRow="1" w:lastColumn="0" w:lastRow="0" w:noHBand="0" w:noVBand="1" w:val="04A0"/>
      </w:tblPr>
      <w:tblGrid>
        <w:gridCol w:w="4320"/>
        <w:gridCol w:w="4320"/>
      </w:tblGrid>
      <w:tr>
        <w:tc>
          <w:tcPr>
            <w:tcW w:type="dxa" w:w="4320"/>
          </w:tcPr>
          <w:p>
            <w:pPr>
              <w:spacing w:line="276" w:lineRule="auto"/>
              <w:jc w:val="both"/>
            </w:pPr>
            <w:r/>
            <w:r>
              <w:rPr>
                <w:rFonts w:ascii="Tahoma" w:hAnsi="Tahoma"/>
                <w:b/>
                <w:sz w:val="22"/>
              </w:rPr>
              <w:t>Elemento</w:t>
            </w:r>
          </w:p>
        </w:tc>
        <w:tc>
          <w:tcPr>
            <w:tcW w:type="dxa" w:w="4320"/>
          </w:tcPr>
          <w:p>
            <w:pPr>
              <w:spacing w:line="276" w:lineRule="auto"/>
              <w:jc w:val="both"/>
            </w:pPr>
            <w:r/>
            <w:r>
              <w:rPr>
                <w:rFonts w:ascii="Tahoma" w:hAnsi="Tahoma"/>
                <w:b/>
                <w:sz w:val="22"/>
              </w:rPr>
              <w:t>Condición del caso</w:t>
            </w:r>
          </w:p>
        </w:tc>
      </w:tr>
      <w:tr>
        <w:tc>
          <w:tcPr>
            <w:tcW w:type="dxa" w:w="4320"/>
          </w:tcPr>
          <w:p>
            <w:pPr>
              <w:spacing w:line="276" w:lineRule="auto"/>
              <w:jc w:val="both"/>
            </w:pPr>
            <w:r/>
            <w:r>
              <w:rPr>
                <w:rFonts w:ascii="Tahoma" w:hAnsi="Tahoma"/>
                <w:b w:val="0"/>
                <w:sz w:val="22"/>
              </w:rPr>
              <w:t>Campaña</w:t>
            </w:r>
          </w:p>
        </w:tc>
        <w:tc>
          <w:tcPr>
            <w:tcW w:type="dxa" w:w="4320"/>
          </w:tcPr>
          <w:p>
            <w:pPr>
              <w:spacing w:line="276" w:lineRule="auto"/>
              <w:jc w:val="both"/>
            </w:pPr>
            <w:r/>
            <w:r>
              <w:rPr>
                <w:rFonts w:ascii="Tahoma" w:hAnsi="Tahoma"/>
                <w:b w:val="0"/>
                <w:sz w:val="22"/>
              </w:rPr>
              <w:t>Presupuesto máximo S/ 1,500; WhatsApp S/ 1.20 por contacto (máximo 900); llamada S/ 7 (máximo 120). Un solo canal por cliente. Se supone que la llamada evita el abandono 1.5 veces más que el WhatsApp. Descuento de primera compra de 8 %, utilizado por 30 % de los contactados (supuesto). Solo clientes con consentimiento.</w:t>
            </w:r>
          </w:p>
        </w:tc>
      </w:tr>
      <w:tr>
        <w:tc>
          <w:tcPr>
            <w:tcW w:type="dxa" w:w="4320"/>
          </w:tcPr>
          <w:p>
            <w:pPr>
              <w:spacing w:line="276" w:lineRule="auto"/>
              <w:jc w:val="both"/>
            </w:pPr>
            <w:r/>
            <w:r>
              <w:rPr>
                <w:rFonts w:ascii="Tahoma" w:hAnsi="Tahoma"/>
                <w:b w:val="0"/>
                <w:sz w:val="22"/>
              </w:rPr>
              <w:t>Reposición</w:t>
            </w:r>
          </w:p>
        </w:tc>
        <w:tc>
          <w:tcPr>
            <w:tcW w:type="dxa" w:w="4320"/>
          </w:tcPr>
          <w:p>
            <w:pPr>
              <w:spacing w:line="276" w:lineRule="auto"/>
              <w:jc w:val="both"/>
            </w:pPr>
            <w:r/>
            <w:r>
              <w:rPr>
                <w:rFonts w:ascii="Tahoma" w:hAnsi="Tahoma"/>
                <w:b w:val="0"/>
                <w:sz w:val="22"/>
              </w:rPr>
              <w:t>Máximo S/ 33,000 de compra; 900 unidades de almacenamiento; 800 despachos en cuatro semanas; cobertura mínima de 50 % de la demanda pronosticada por familia. Cada familia aporta stock, coste, margen, espacio y tasa de devolución. Lo que no se vende cuesta 10 % de su coste.</w:t>
            </w:r>
          </w:p>
        </w:tc>
      </w:tr>
      <w:tr>
        <w:tc>
          <w:tcPr>
            <w:tcW w:type="dxa" w:w="4320"/>
          </w:tcPr>
          <w:p>
            <w:pPr>
              <w:spacing w:line="276" w:lineRule="auto"/>
              <w:jc w:val="both"/>
            </w:pPr>
            <w:r/>
            <w:r>
              <w:rPr>
                <w:rFonts w:ascii="Tahoma" w:hAnsi="Tahoma"/>
                <w:b w:val="0"/>
                <w:sz w:val="22"/>
              </w:rPr>
              <w:t>Escenario actual</w:t>
            </w:r>
          </w:p>
        </w:tc>
        <w:tc>
          <w:tcPr>
            <w:tcW w:type="dxa" w:w="4320"/>
          </w:tcPr>
          <w:p>
            <w:pPr>
              <w:spacing w:line="276" w:lineRule="auto"/>
              <w:jc w:val="both"/>
            </w:pPr>
            <w:r/>
            <w:r>
              <w:rPr>
                <w:rFonts w:ascii="Tahoma" w:hAnsi="Tahoma"/>
                <w:b w:val="0"/>
                <w:sz w:val="22"/>
              </w:rPr>
              <w:t>Contactar por WhatsApp a los primeros 500 compradores elegibles por id_cliente y reponer por familia la demanda de las últimas cuatro semanas menos el stock, acotando a cero. Antes de comparar se verifican las restricciones y se ajusta de forma explícita.</w:t>
            </w:r>
          </w:p>
        </w:tc>
      </w:tr>
      <w:tr>
        <w:tc>
          <w:tcPr>
            <w:tcW w:type="dxa" w:w="4320"/>
          </w:tcPr>
          <w:p>
            <w:pPr>
              <w:spacing w:line="276" w:lineRule="auto"/>
              <w:jc w:val="both"/>
            </w:pPr>
            <w:r/>
            <w:r>
              <w:rPr>
                <w:rFonts w:ascii="Tahoma" w:hAnsi="Tahoma"/>
                <w:b w:val="0"/>
                <w:sz w:val="22"/>
              </w:rPr>
              <w:t>Sensibilidad</w:t>
            </w:r>
          </w:p>
        </w:tc>
        <w:tc>
          <w:tcPr>
            <w:tcW w:type="dxa" w:w="4320"/>
          </w:tcPr>
          <w:p>
            <w:pPr>
              <w:spacing w:line="276" w:lineRule="auto"/>
              <w:jc w:val="both"/>
            </w:pPr>
            <w:r/>
            <w:r>
              <w:rPr>
                <w:rFonts w:ascii="Tahoma" w:hAnsi="Tahoma"/>
                <w:b w:val="0"/>
                <w:sz w:val="22"/>
              </w:rPr>
              <w:t>Probabilidad incremental supuesta de evitar el abandono: 0, 0,08 y 0,15 (no es un resultado causal del modelo). Además: demanda baja y alta, presupuesto de compra −20 %, almacén −15 % y presupuesto de campaña ×2.</w:t>
            </w:r>
          </w:p>
        </w:tc>
      </w:tr>
    </w:tbl>
    <w:p/>
    <w:p>
      <w:pPr>
        <w:spacing w:line="276" w:lineRule="auto"/>
        <w:jc w:val="both"/>
      </w:pPr>
      <w:r>
        <w:rPr>
          <w:rFonts w:ascii="Tahoma" w:hAnsi="Tahoma"/>
          <w:sz w:val="24"/>
        </w:rPr>
        <w:t>Los importes, capacidades y efectos anteriores son supuestos del enunciado, editables en la sensibilidad. Los datos del caso son compatibles con estas restricciones y permiten construir al menos una solución factible.</w:t>
      </w:r>
    </w:p>
    <w:p>
      <w:pPr>
        <w:pStyle w:val="Heading2"/>
        <w:spacing w:line="276" w:lineRule="auto"/>
        <w:jc w:val="left"/>
      </w:pPr>
      <w:r>
        <w:rPr>
          <w:rFonts w:ascii="Tahoma" w:hAnsi="Tahoma"/>
          <w:sz w:val="26"/>
        </w:rPr>
        <w:t>Desarrollo del caso Patitas Andinas</w:t>
      </w:r>
    </w:p>
    <w:p>
      <w:pPr>
        <w:spacing w:line="276" w:lineRule="auto"/>
        <w:jc w:val="both"/>
      </w:pPr>
      <w:r>
        <w:rPr>
          <w:rFonts w:ascii="Tahoma" w:hAnsi="Tahoma"/>
          <w:b/>
          <w:sz w:val="24"/>
        </w:rPr>
        <w:t xml:space="preserve">Modelo prescriptivo. </w:t>
      </w:r>
      <w:r>
        <w:rPr>
          <w:rFonts w:ascii="Tahoma" w:hAnsi="Tahoma"/>
          <w:sz w:val="24"/>
        </w:rPr>
        <w:t>Elegir contactos por canal y unidades enteras de reposición por familia. Maximizar el valor esperado neto: valor incremental de retención a seis meses (probabilidad de abandono × efecto × CLV − coste del contacto − coste esperado del incentivo) más margen de operación a cuatro semanas, neto de devoluciones y de excedentes. Los dos horizontes se reportan por separado y no se suman, para no contabilizar dos veces las ventas de los clientes contactados.</w:t>
      </w:r>
    </w:p>
    <w:p>
      <w:pPr>
        <w:spacing w:line="276" w:lineRule="auto"/>
        <w:jc w:val="both"/>
      </w:pPr>
      <w:r>
        <w:rPr>
          <w:rFonts w:ascii="Tahoma" w:hAnsi="Tahoma"/>
          <w:b/>
          <w:sz w:val="24"/>
        </w:rPr>
        <w:t xml:space="preserve">Anomalías y control. </w:t>
      </w:r>
      <w:r>
        <w:rPr>
          <w:rFonts w:ascii="Tahoma" w:hAnsi="Tahoma"/>
          <w:sz w:val="24"/>
        </w:rPr>
        <w:t>Detectar devoluciones mayores que la venta que las originó y tiempos de preparación extremos. Construir una carta de control X̄ de la media semanal del tiempo de preparación por sede, con línea base estable de más de 30 semanas, y separar los límites estadísticos de la meta de servicio de 45 minutos.</w:t>
      </w:r>
    </w:p>
    <w:p>
      <w:pPr>
        <w:spacing w:line="276" w:lineRule="auto"/>
        <w:jc w:val="both"/>
      </w:pPr>
      <w:r>
        <w:rPr>
          <w:rFonts w:ascii="Tahoma" w:hAnsi="Tahoma"/>
          <w:b/>
          <w:sz w:val="24"/>
        </w:rPr>
        <w:t xml:space="preserve">Auditoría y documentación. </w:t>
      </w:r>
      <w:r>
        <w:rPr>
          <w:rFonts w:ascii="Tahoma" w:hAnsi="Tahoma"/>
          <w:sz w:val="24"/>
        </w:rPr>
        <w:t>Auditar recall y falsos positivos por sede, canal, segmento y plan de recompra, con denominadores. Documentar contrato, linaje, roles, acceso y retención, SHAP y la aplicabilidad de la Ley 29733 y su reglamento y de la Ley 31814 y su reglamento con fuentes oficiales; el EU AI Act no aplica por falta de nexo. Documentos para el asistente: política de devoluciones, niveles de servicio, reglas de descuentos, contacto y consentimiento, y programa de recompra, con versiones vigentes y reemplazadas.</w:t>
      </w:r>
    </w:p>
    <w:p>
      <w:pPr>
        <w:spacing w:line="276" w:lineRule="auto"/>
        <w:jc w:val="both"/>
      </w:pPr>
      <w:r>
        <w:rPr>
          <w:rFonts w:ascii="Tahoma" w:hAnsi="Tahoma"/>
          <w:b/>
          <w:sz w:val="24"/>
        </w:rPr>
        <w:t xml:space="preserve">Asistente. </w:t>
      </w:r>
      <w:r>
        <w:rPr>
          <w:rFonts w:ascii="Tahoma" w:hAnsi="Tahoma"/>
          <w:sz w:val="24"/>
        </w:rPr>
        <w:t>Text-to-SQL de solo lectura con 20 preguntas fijas (12 respondibles y 8 de abstención, ambigüedad, acceso no permitido o instrucciones adversarias), comparado con una línea base determinista. El LLM solo se reporta si se ejecutó.</w:t>
      </w:r>
    </w:p>
    <w:p>
      <w:pPr>
        <w:spacing w:line="276" w:lineRule="auto"/>
        <w:jc w:val="both"/>
      </w:pPr>
      <w:r>
        <w:rPr>
          <w:rFonts w:ascii="Tahoma" w:hAnsi="Tahoma"/>
          <w:b/>
          <w:sz w:val="24"/>
        </w:rPr>
        <w:t xml:space="preserve">Producto y recomendación. </w:t>
      </w:r>
      <w:r>
        <w:rPr>
          <w:rFonts w:ascii="Tahoma" w:hAnsi="Tahoma"/>
          <w:sz w:val="24"/>
        </w:rPr>
        <w:t>Aplicación con riesgo y umbral, demanda por familia, optimización con escenarios, carta de control, gobierno y asistente con evaluación visible.</w:t>
      </w:r>
    </w:p>
    <w:p>
      <w:pPr>
        <w:pStyle w:val="Heading2"/>
        <w:spacing w:line="276" w:lineRule="auto"/>
        <w:jc w:val="left"/>
      </w:pPr>
      <w:r>
        <w:rPr>
          <w:rFonts w:ascii="Tahoma" w:hAnsi="Tahoma"/>
          <w:sz w:val="26"/>
        </w:rPr>
        <w:t>Resultados del ejemplo (cifras del cuaderno)</w:t>
      </w:r>
    </w:p>
    <w:tbl>
      <w:tblPr>
        <w:tblStyle w:val="TableGrid"/>
        <w:tblW w:type="auto" w:w="0"/>
        <w:tblLook w:firstColumn="1" w:firstRow="1" w:lastColumn="0" w:lastRow="0" w:noHBand="0" w:noVBand="1" w:val="04A0"/>
      </w:tblPr>
      <w:tblGrid>
        <w:gridCol w:w="4320"/>
        <w:gridCol w:w="4320"/>
      </w:tblGrid>
      <w:tr>
        <w:tc>
          <w:tcPr>
            <w:tcW w:type="dxa" w:w="4320"/>
          </w:tcPr>
          <w:p>
            <w:pPr>
              <w:spacing w:line="276" w:lineRule="auto"/>
              <w:jc w:val="both"/>
            </w:pPr>
            <w:r/>
            <w:r>
              <w:rPr>
                <w:rFonts w:ascii="Tahoma" w:hAnsi="Tahoma"/>
                <w:b/>
                <w:sz w:val="22"/>
              </w:rPr>
              <w:t>Indicador</w:t>
            </w:r>
          </w:p>
        </w:tc>
        <w:tc>
          <w:tcPr>
            <w:tcW w:type="dxa" w:w="4320"/>
          </w:tcPr>
          <w:p>
            <w:pPr>
              <w:spacing w:line="276" w:lineRule="auto"/>
              <w:jc w:val="both"/>
            </w:pPr>
            <w:r/>
            <w:r>
              <w:rPr>
                <w:rFonts w:ascii="Tahoma" w:hAnsi="Tahoma"/>
                <w:b/>
                <w:sz w:val="22"/>
              </w:rPr>
              <w:t>Valor</w:t>
            </w:r>
          </w:p>
        </w:tc>
      </w:tr>
      <w:tr>
        <w:tc>
          <w:tcPr>
            <w:tcW w:type="dxa" w:w="4320"/>
          </w:tcPr>
          <w:p>
            <w:pPr>
              <w:spacing w:line="276" w:lineRule="auto"/>
              <w:jc w:val="both"/>
            </w:pPr>
            <w:r/>
            <w:r>
              <w:rPr>
                <w:rFonts w:ascii="Tahoma" w:hAnsi="Tahoma"/>
                <w:b w:val="0"/>
                <w:sz w:val="22"/>
              </w:rPr>
              <w:t>Modelo de churn elegido</w:t>
            </w:r>
          </w:p>
        </w:tc>
        <w:tc>
          <w:tcPr>
            <w:tcW w:type="dxa" w:w="4320"/>
          </w:tcPr>
          <w:p>
            <w:pPr>
              <w:spacing w:line="276" w:lineRule="auto"/>
              <w:jc w:val="both"/>
            </w:pPr>
            <w:r/>
            <w:r>
              <w:rPr>
                <w:rFonts w:ascii="Tahoma" w:hAnsi="Tahoma"/>
                <w:b w:val="0"/>
                <w:sz w:val="22"/>
              </w:rPr>
              <w:t>LightGBM; PR-AUC en prueba 0.43 (tasa base 0.25)</w:t>
            </w:r>
          </w:p>
        </w:tc>
      </w:tr>
      <w:tr>
        <w:tc>
          <w:tcPr>
            <w:tcW w:type="dxa" w:w="4320"/>
          </w:tcPr>
          <w:p>
            <w:pPr>
              <w:spacing w:line="276" w:lineRule="auto"/>
              <w:jc w:val="both"/>
            </w:pPr>
            <w:r/>
            <w:r>
              <w:rPr>
                <w:rFonts w:ascii="Tahoma" w:hAnsi="Tahoma"/>
                <w:b w:val="0"/>
                <w:sz w:val="22"/>
              </w:rPr>
              <w:t>Umbral elegido en validación</w:t>
            </w:r>
          </w:p>
        </w:tc>
        <w:tc>
          <w:tcPr>
            <w:tcW w:type="dxa" w:w="4320"/>
          </w:tcPr>
          <w:p>
            <w:pPr>
              <w:spacing w:line="276" w:lineRule="auto"/>
              <w:jc w:val="both"/>
            </w:pPr>
            <w:r/>
            <w:r>
              <w:rPr>
                <w:rFonts w:ascii="Tahoma" w:hAnsi="Tahoma"/>
                <w:b w:val="0"/>
                <w:sz w:val="22"/>
              </w:rPr>
              <w:t>0.35</w:t>
            </w:r>
          </w:p>
        </w:tc>
      </w:tr>
      <w:tr>
        <w:tc>
          <w:tcPr>
            <w:tcW w:type="dxa" w:w="4320"/>
          </w:tcPr>
          <w:p>
            <w:pPr>
              <w:spacing w:line="276" w:lineRule="auto"/>
              <w:jc w:val="both"/>
            </w:pPr>
            <w:r/>
            <w:r>
              <w:rPr>
                <w:rFonts w:ascii="Tahoma" w:hAnsi="Tahoma"/>
                <w:b w:val="0"/>
                <w:sz w:val="22"/>
              </w:rPr>
              <w:t>Contactos recomendados</w:t>
            </w:r>
          </w:p>
        </w:tc>
        <w:tc>
          <w:tcPr>
            <w:tcW w:type="dxa" w:w="4320"/>
          </w:tcPr>
          <w:p>
            <w:pPr>
              <w:spacing w:line="276" w:lineRule="auto"/>
              <w:jc w:val="both"/>
            </w:pPr>
            <w:r/>
            <w:r>
              <w:rPr>
                <w:rFonts w:ascii="Tahoma" w:hAnsi="Tahoma"/>
                <w:b w:val="0"/>
                <w:sz w:val="22"/>
              </w:rPr>
              <w:t>135 (WhatsApp 121, llamada 14); coste S/ 616</w:t>
            </w:r>
          </w:p>
        </w:tc>
      </w:tr>
      <w:tr>
        <w:tc>
          <w:tcPr>
            <w:tcW w:type="dxa" w:w="4320"/>
          </w:tcPr>
          <w:p>
            <w:pPr>
              <w:spacing w:line="276" w:lineRule="auto"/>
              <w:jc w:val="both"/>
            </w:pPr>
            <w:r/>
            <w:r>
              <w:rPr>
                <w:rFonts w:ascii="Tahoma" w:hAnsi="Tahoma"/>
                <w:b w:val="0"/>
                <w:sz w:val="22"/>
              </w:rPr>
              <w:t>Margen de operación a 4 semanas</w:t>
            </w:r>
          </w:p>
        </w:tc>
        <w:tc>
          <w:tcPr>
            <w:tcW w:type="dxa" w:w="4320"/>
          </w:tcPr>
          <w:p>
            <w:pPr>
              <w:spacing w:line="276" w:lineRule="auto"/>
              <w:jc w:val="both"/>
            </w:pPr>
            <w:r/>
            <w:r>
              <w:rPr>
                <w:rFonts w:ascii="Tahoma" w:hAnsi="Tahoma"/>
                <w:b w:val="0"/>
                <w:sz w:val="22"/>
              </w:rPr>
              <w:t>propuesta S/ 31,985 frente a S/ 29,026 de la política actual ajustada</w:t>
            </w:r>
          </w:p>
        </w:tc>
      </w:tr>
      <w:tr>
        <w:tc>
          <w:tcPr>
            <w:tcW w:type="dxa" w:w="4320"/>
          </w:tcPr>
          <w:p>
            <w:pPr>
              <w:spacing w:line="276" w:lineRule="auto"/>
              <w:jc w:val="both"/>
            </w:pPr>
            <w:r/>
            <w:r>
              <w:rPr>
                <w:rFonts w:ascii="Tahoma" w:hAnsi="Tahoma"/>
                <w:b w:val="0"/>
                <w:sz w:val="22"/>
              </w:rPr>
              <w:t>Valor de retención a 6 meses (efecto 0,08)</w:t>
            </w:r>
          </w:p>
        </w:tc>
        <w:tc>
          <w:tcPr>
            <w:tcW w:type="dxa" w:w="4320"/>
          </w:tcPr>
          <w:p>
            <w:pPr>
              <w:spacing w:line="276" w:lineRule="auto"/>
              <w:jc w:val="both"/>
            </w:pPr>
            <w:r/>
            <w:r>
              <w:rPr>
                <w:rFonts w:ascii="Tahoma" w:hAnsi="Tahoma"/>
                <w:b w:val="0"/>
                <w:sz w:val="22"/>
              </w:rPr>
              <w:t>propuesta S/ 423 frente a S/ -1,163; con efecto 0 no se justifica contactar</w:t>
            </w:r>
          </w:p>
        </w:tc>
      </w:tr>
      <w:tr>
        <w:tc>
          <w:tcPr>
            <w:tcW w:type="dxa" w:w="4320"/>
          </w:tcPr>
          <w:p>
            <w:pPr>
              <w:spacing w:line="276" w:lineRule="auto"/>
              <w:jc w:val="both"/>
            </w:pPr>
            <w:r/>
            <w:r>
              <w:rPr>
                <w:rFonts w:ascii="Tahoma" w:hAnsi="Tahoma"/>
                <w:b w:val="0"/>
                <w:sz w:val="22"/>
              </w:rPr>
              <w:t>Asistente determinista</w:t>
            </w:r>
          </w:p>
        </w:tc>
        <w:tc>
          <w:tcPr>
            <w:tcW w:type="dxa" w:w="4320"/>
          </w:tcPr>
          <w:p>
            <w:pPr>
              <w:spacing w:line="276" w:lineRule="auto"/>
              <w:jc w:val="both"/>
            </w:pPr>
            <w:r/>
            <w:r>
              <w:rPr>
                <w:rFonts w:ascii="Tahoma" w:hAnsi="Tahoma"/>
                <w:b w:val="0"/>
                <w:sz w:val="22"/>
              </w:rPr>
              <w:t>20 de 20 aciertos; paráfrasis 3/6; LLM no ejecutado</w:t>
            </w:r>
          </w:p>
        </w:tc>
      </w:tr>
    </w:tbl>
    <w:p/>
    <w:p>
      <w:pPr>
        <w:pStyle w:val="Heading2"/>
        <w:spacing w:line="276" w:lineRule="auto"/>
        <w:jc w:val="left"/>
      </w:pPr>
      <w:r>
        <w:rPr>
          <w:rFonts w:ascii="Tahoma" w:hAnsi="Tahoma"/>
          <w:sz w:val="26"/>
        </w:rPr>
        <w:t>Preguntas para la sustentación</w:t>
      </w:r>
    </w:p>
    <w:p>
      <w:pPr>
        <w:pStyle w:val="ListBullet"/>
        <w:spacing w:line="276" w:lineRule="auto"/>
        <w:jc w:val="both"/>
      </w:pPr>
      <w:r>
        <w:rPr>
          <w:rFonts w:ascii="Tahoma" w:hAnsi="Tahoma"/>
          <w:sz w:val="24"/>
        </w:rPr>
        <w:t>¿Qué ocurre con el beneficio si la campaña no evita ningún abandono?</w:t>
      </w:r>
    </w:p>
    <w:p>
      <w:pPr>
        <w:pStyle w:val="ListBullet"/>
        <w:spacing w:line="276" w:lineRule="auto"/>
        <w:jc w:val="both"/>
      </w:pPr>
      <w:r>
        <w:rPr>
          <w:rFonts w:ascii="Tahoma" w:hAnsi="Tahoma"/>
          <w:sz w:val="24"/>
        </w:rPr>
        <w:t>¿Qué restricción limita la reposición y cómo cambia el plan si el presupuesto de compra baja 20 %?</w:t>
      </w:r>
    </w:p>
    <w:p>
      <w:pPr>
        <w:pStyle w:val="ListBullet"/>
        <w:spacing w:line="276" w:lineRule="auto"/>
        <w:jc w:val="both"/>
      </w:pPr>
      <w:r>
        <w:rPr>
          <w:rFonts w:ascii="Tahoma" w:hAnsi="Tahoma"/>
          <w:sz w:val="24"/>
        </w:rPr>
        <w:t>¿Una señal de la carta de control en Trujillo prueba la causa del retraso?</w:t>
      </w:r>
    </w:p>
    <w:p>
      <w:pPr>
        <w:pStyle w:val="ListBullet"/>
        <w:spacing w:line="276" w:lineRule="auto"/>
        <w:jc w:val="both"/>
      </w:pPr>
      <w:r>
        <w:rPr>
          <w:rFonts w:ascii="Tahoma" w:hAnsi="Tahoma"/>
          <w:sz w:val="24"/>
        </w:rPr>
        <w:t>¿Por qué el modelo de riesgo no demuestra que el descuento evite el abandono?</w:t>
      </w:r>
    </w:p>
    <w:p>
      <w:pPr>
        <w:pStyle w:val="ListBullet"/>
        <w:spacing w:line="276" w:lineRule="auto"/>
        <w:jc w:val="both"/>
      </w:pPr>
      <w:r>
        <w:rPr>
          <w:rFonts w:ascii="Tahoma" w:hAnsi="Tahoma"/>
          <w:sz w:val="24"/>
        </w:rPr>
        <w:t>¿Qué hace el asistente ante una pregunta ambigua o una instrucción adversaria?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ahoma" w:hAnsi="Tahoma" w:eastAsia="Tahoma"/>
    </w:rPr>
  </w:style>
  <w:style w:type="character" w:customStyle="1" w:styleId="HeaderChar">
    <w:name w:val="Header Char"/>
    <w:basedOn w:val="DefaultParagraphFont"/>
    <w:link w:val="Header"/>
    <w:uiPriority w:val="99"/>
    <w:rsid w:val="00E618BF"/>
    <w:rPr>
      <w:rFonts w:ascii="Tahoma" w:hAnsi="Tahoma" w:eastAsia="Tahom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ahoma" w:hAnsi="Tahoma" w:eastAsia="Tahoma"/>
    </w:rPr>
  </w:style>
  <w:style w:type="character" w:customStyle="1" w:styleId="FooterChar">
    <w:name w:val="Footer Char"/>
    <w:basedOn w:val="DefaultParagraphFont"/>
    <w:link w:val="Footer"/>
    <w:uiPriority w:val="99"/>
    <w:rsid w:val="00E618BF"/>
    <w:rPr>
      <w:rFonts w:ascii="Tahoma" w:hAnsi="Tahoma" w:eastAsia="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eastAsia="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eastAsia="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ahoma" w:hAnsi="Tahoma" w:eastAsia="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ahoma" w:hAnsi="Tahoma" w:eastAsia="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ahoma" w:hAnsi="Tahoma" w:eastAsia="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ahoma" w:hAnsi="Tahoma" w:eastAsia="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ahoma" w:hAnsi="Tahoma" w:eastAsia="Tahom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ahoma" w:hAnsi="Tahoma" w:eastAsia="Tahoma"/>
      <w:i/>
      <w:iCs/>
      <w:color w:val="404040" w:themeColor="text1" w:themeTint="BF"/>
      <w:sz w:val="20"/>
      <w:szCs w:val="20"/>
    </w:rPr>
  </w:style>
  <w:style w:type="character" w:default="1" w:styleId="DefaultParagraphFont">
    <w:name w:val="Default Paragraph Font"/>
    <w:uiPriority w:val="1"/>
    <w:semiHidden/>
    <w:unhideWhenUsed/>
    <w:rPr>
      <w:rFonts w:ascii="Tahoma" w:hAnsi="Tahoma" w:eastAsia="Tahoma"/>
    </w:rPr>
  </w:style>
  <w:style w:type="table" w:default="1" w:styleId="TableNormal">
    <w:name w:val="Normal Table"/>
    <w:uiPriority w:val="99"/>
    <w:semiHidden/>
    <w:unhideWhenUsed/>
    <w:rPr>
      <w:rFonts w:ascii="Tahoma" w:hAnsi="Tahoma" w:eastAsia="Tahom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ahoma" w:hAnsi="Tahoma" w:eastAsia="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ahoma" w:hAnsi="Tahoma" w:eastAsia="Tahom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ahoma" w:hAnsi="Tahoma" w:eastAsia="Tahom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ahoma" w:hAnsi="Tahoma" w:eastAsia="Tahom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eastAsia="Tahom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ahoma" w:hAnsi="Tahoma" w:eastAsia="Tahom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ahoma" w:hAnsi="Tahoma" w:eastAsia="Tahom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ahoma" w:hAnsi="Tahoma" w:eastAsia="Tahom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ahoma" w:hAnsi="Tahoma" w:eastAsia="Tahoma"/>
    </w:rPr>
  </w:style>
  <w:style w:type="paragraph" w:styleId="BodyText">
    <w:name w:val="Body Text"/>
    <w:basedOn w:val="Normal"/>
    <w:link w:val="BodyTextChar"/>
    <w:uiPriority w:val="99"/>
    <w:unhideWhenUsed/>
    <w:rsid w:val="00AA1D8D"/>
    <w:pPr>
      <w:spacing w:after="120"/>
    </w:pPr>
    <w:rPr>
      <w:rFonts w:ascii="Tahoma" w:hAnsi="Tahoma" w:eastAsia="Tahoma"/>
    </w:rPr>
  </w:style>
  <w:style w:type="character" w:customStyle="1" w:styleId="BodyTextChar">
    <w:name w:val="Body Text Char"/>
    <w:basedOn w:val="DefaultParagraphFont"/>
    <w:link w:val="BodyText"/>
    <w:uiPriority w:val="99"/>
    <w:rsid w:val="00AA1D8D"/>
    <w:rPr>
      <w:rFonts w:ascii="Tahoma" w:hAnsi="Tahoma" w:eastAsia="Tahoma"/>
    </w:rPr>
  </w:style>
  <w:style w:type="paragraph" w:styleId="BodyText2">
    <w:name w:val="Body Text 2"/>
    <w:basedOn w:val="Normal"/>
    <w:link w:val="BodyText2Char"/>
    <w:uiPriority w:val="99"/>
    <w:unhideWhenUsed/>
    <w:rsid w:val="00AA1D8D"/>
    <w:pPr>
      <w:spacing w:after="120" w:line="480" w:lineRule="auto"/>
    </w:pPr>
    <w:rPr>
      <w:rFonts w:ascii="Tahoma" w:hAnsi="Tahoma" w:eastAsia="Tahoma"/>
    </w:rPr>
  </w:style>
  <w:style w:type="character" w:customStyle="1" w:styleId="BodyText2Char">
    <w:name w:val="Body Text 2 Char"/>
    <w:basedOn w:val="DefaultParagraphFont"/>
    <w:link w:val="BodyText2"/>
    <w:uiPriority w:val="99"/>
    <w:rsid w:val="00AA1D8D"/>
    <w:rPr>
      <w:rFonts w:ascii="Tahoma" w:hAnsi="Tahoma" w:eastAsia="Tahoma"/>
    </w:rPr>
  </w:style>
  <w:style w:type="paragraph" w:styleId="BodyText3">
    <w:name w:val="Body Text 3"/>
    <w:basedOn w:val="Normal"/>
    <w:link w:val="BodyText3Char"/>
    <w:uiPriority w:val="99"/>
    <w:unhideWhenUsed/>
    <w:rsid w:val="00AA1D8D"/>
    <w:pPr>
      <w:spacing w:after="120"/>
    </w:pPr>
    <w:rPr>
      <w:rFonts w:ascii="Tahoma" w:hAnsi="Tahoma" w:eastAsia="Tahoma"/>
      <w:sz w:val="16"/>
      <w:szCs w:val="16"/>
    </w:rPr>
  </w:style>
  <w:style w:type="character" w:customStyle="1" w:styleId="BodyText3Char">
    <w:name w:val="Body Text 3 Char"/>
    <w:basedOn w:val="DefaultParagraphFont"/>
    <w:link w:val="BodyText3"/>
    <w:uiPriority w:val="99"/>
    <w:rsid w:val="00AA1D8D"/>
    <w:rPr>
      <w:rFonts w:ascii="Tahoma" w:hAnsi="Tahoma" w:eastAsia="Tahoma"/>
      <w:sz w:val="16"/>
      <w:szCs w:val="16"/>
    </w:rPr>
  </w:style>
  <w:style w:type="paragraph" w:styleId="List">
    <w:name w:val="List"/>
    <w:basedOn w:val="Normal"/>
    <w:uiPriority w:val="99"/>
    <w:unhideWhenUsed/>
    <w:rsid w:val="00AA1D8D"/>
    <w:pPr>
      <w:ind w:left="360" w:hanging="360"/>
      <w:contextualSpacing/>
    </w:pPr>
    <w:rPr>
      <w:rFonts w:ascii="Tahoma" w:hAnsi="Tahoma" w:eastAsia="Tahoma"/>
    </w:rPr>
  </w:style>
  <w:style w:type="paragraph" w:styleId="List2">
    <w:name w:val="List 2"/>
    <w:basedOn w:val="Normal"/>
    <w:uiPriority w:val="99"/>
    <w:unhideWhenUsed/>
    <w:rsid w:val="00326F90"/>
    <w:pPr>
      <w:ind w:left="720" w:hanging="360"/>
      <w:contextualSpacing/>
    </w:pPr>
    <w:rPr>
      <w:rFonts w:ascii="Tahoma" w:hAnsi="Tahoma" w:eastAsia="Tahoma"/>
    </w:rPr>
  </w:style>
  <w:style w:type="paragraph" w:styleId="List3">
    <w:name w:val="List 3"/>
    <w:basedOn w:val="Normal"/>
    <w:uiPriority w:val="99"/>
    <w:unhideWhenUsed/>
    <w:rsid w:val="00326F90"/>
    <w:pPr>
      <w:ind w:left="1080" w:hanging="360"/>
      <w:contextualSpacing/>
    </w:pPr>
    <w:rPr>
      <w:rFonts w:ascii="Tahoma" w:hAnsi="Tahoma" w:eastAsia="Tahoma"/>
    </w:rPr>
  </w:style>
  <w:style w:type="paragraph" w:styleId="ListBullet">
    <w:name w:val="List Bullet"/>
    <w:basedOn w:val="Normal"/>
    <w:uiPriority w:val="99"/>
    <w:unhideWhenUsed/>
    <w:rsid w:val="00326F90"/>
    <w:pPr>
      <w:numPr>
        <w:numId w:val="1"/>
      </w:numPr>
      <w:contextualSpacing/>
    </w:pPr>
    <w:rPr>
      <w:rFonts w:ascii="Tahoma" w:hAnsi="Tahoma" w:eastAsia="Tahoma"/>
    </w:rPr>
  </w:style>
  <w:style w:type="paragraph" w:styleId="ListBullet2">
    <w:name w:val="List Bullet 2"/>
    <w:basedOn w:val="Normal"/>
    <w:uiPriority w:val="99"/>
    <w:unhideWhenUsed/>
    <w:rsid w:val="00326F90"/>
    <w:pPr>
      <w:numPr>
        <w:numId w:val="2"/>
      </w:numPr>
      <w:contextualSpacing/>
    </w:pPr>
    <w:rPr>
      <w:rFonts w:ascii="Tahoma" w:hAnsi="Tahoma" w:eastAsia="Tahoma"/>
    </w:rPr>
  </w:style>
  <w:style w:type="paragraph" w:styleId="ListBullet3">
    <w:name w:val="List Bullet 3"/>
    <w:basedOn w:val="Normal"/>
    <w:uiPriority w:val="99"/>
    <w:unhideWhenUsed/>
    <w:rsid w:val="00326F90"/>
    <w:pPr>
      <w:numPr>
        <w:numId w:val="3"/>
      </w:numPr>
      <w:contextualSpacing/>
    </w:pPr>
    <w:rPr>
      <w:rFonts w:ascii="Tahoma" w:hAnsi="Tahoma" w:eastAsia="Tahoma"/>
    </w:rPr>
  </w:style>
  <w:style w:type="paragraph" w:styleId="ListNumber">
    <w:name w:val="List Number"/>
    <w:basedOn w:val="Normal"/>
    <w:uiPriority w:val="99"/>
    <w:unhideWhenUsed/>
    <w:rsid w:val="00326F90"/>
    <w:pPr>
      <w:numPr>
        <w:numId w:val="5"/>
      </w:numPr>
      <w:contextualSpacing/>
    </w:pPr>
    <w:rPr>
      <w:rFonts w:ascii="Tahoma" w:hAnsi="Tahoma" w:eastAsia="Tahoma"/>
    </w:rPr>
  </w:style>
  <w:style w:type="paragraph" w:styleId="ListNumber2">
    <w:name w:val="List Number 2"/>
    <w:basedOn w:val="Normal"/>
    <w:uiPriority w:val="99"/>
    <w:unhideWhenUsed/>
    <w:rsid w:val="0029639D"/>
    <w:pPr>
      <w:numPr>
        <w:numId w:val="6"/>
      </w:numPr>
      <w:contextualSpacing/>
    </w:pPr>
    <w:rPr>
      <w:rFonts w:ascii="Tahoma" w:hAnsi="Tahoma" w:eastAsia="Tahoma"/>
    </w:rPr>
  </w:style>
  <w:style w:type="paragraph" w:styleId="ListNumber3">
    <w:name w:val="List Number 3"/>
    <w:basedOn w:val="Normal"/>
    <w:uiPriority w:val="99"/>
    <w:unhideWhenUsed/>
    <w:rsid w:val="0029639D"/>
    <w:pPr>
      <w:numPr>
        <w:numId w:val="7"/>
      </w:numPr>
      <w:contextualSpacing/>
    </w:pPr>
    <w:rPr>
      <w:rFonts w:ascii="Tahoma" w:hAnsi="Tahoma" w:eastAsia="Tahoma"/>
    </w:rPr>
  </w:style>
  <w:style w:type="paragraph" w:styleId="ListContinue">
    <w:name w:val="List Continue"/>
    <w:basedOn w:val="Normal"/>
    <w:uiPriority w:val="99"/>
    <w:unhideWhenUsed/>
    <w:rsid w:val="0029639D"/>
    <w:pPr>
      <w:spacing w:after="120"/>
      <w:ind w:left="360"/>
      <w:contextualSpacing/>
    </w:pPr>
    <w:rPr>
      <w:rFonts w:ascii="Tahoma" w:hAnsi="Tahoma" w:eastAsia="Tahoma"/>
    </w:rPr>
  </w:style>
  <w:style w:type="paragraph" w:styleId="ListContinue2">
    <w:name w:val="List Continue 2"/>
    <w:basedOn w:val="Normal"/>
    <w:uiPriority w:val="99"/>
    <w:unhideWhenUsed/>
    <w:rsid w:val="0029639D"/>
    <w:pPr>
      <w:spacing w:after="120"/>
      <w:ind w:left="720"/>
      <w:contextualSpacing/>
    </w:pPr>
    <w:rPr>
      <w:rFonts w:ascii="Tahoma" w:hAnsi="Tahoma" w:eastAsia="Tahoma"/>
    </w:rPr>
  </w:style>
  <w:style w:type="paragraph" w:styleId="ListContinue3">
    <w:name w:val="List Continue 3"/>
    <w:basedOn w:val="Normal"/>
    <w:uiPriority w:val="99"/>
    <w:unhideWhenUsed/>
    <w:rsid w:val="0029639D"/>
    <w:pPr>
      <w:spacing w:after="120"/>
      <w:ind w:left="1080"/>
      <w:contextualSpacing/>
    </w:pPr>
    <w:rPr>
      <w:rFonts w:ascii="Tahoma" w:hAnsi="Tahoma" w:eastAsia="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ahoma" w:hAnsi="Tahoma" w:eastAsia="Tahoma"/>
      <w:sz w:val="20"/>
      <w:szCs w:val="20"/>
    </w:rPr>
  </w:style>
  <w:style w:type="character" w:customStyle="1" w:styleId="MacroTextChar">
    <w:name w:val="Macro Text Char"/>
    <w:basedOn w:val="DefaultParagraphFont"/>
    <w:link w:val="MacroText"/>
    <w:uiPriority w:val="99"/>
    <w:rsid w:val="0029639D"/>
    <w:rPr>
      <w:rFonts w:ascii="Tahoma" w:hAnsi="Tahoma" w:eastAsia="Tahoma"/>
      <w:sz w:val="20"/>
      <w:szCs w:val="20"/>
    </w:rPr>
  </w:style>
  <w:style w:type="paragraph" w:styleId="Quote">
    <w:name w:val="Quote"/>
    <w:basedOn w:val="Normal"/>
    <w:next w:val="Normal"/>
    <w:link w:val="QuoteChar"/>
    <w:uiPriority w:val="29"/>
    <w:qFormat/>
    <w:rsid w:val="00FC693F"/>
    <w:rPr>
      <w:rFonts w:ascii="Tahoma" w:hAnsi="Tahoma" w:eastAsia="Tahoma"/>
      <w:i/>
      <w:iCs/>
      <w:color w:val="000000" w:themeColor="text1"/>
    </w:rPr>
  </w:style>
  <w:style w:type="character" w:customStyle="1" w:styleId="QuoteChar">
    <w:name w:val="Quote Char"/>
    <w:basedOn w:val="DefaultParagraphFont"/>
    <w:link w:val="Quote"/>
    <w:uiPriority w:val="29"/>
    <w:rsid w:val="00FC693F"/>
    <w:rPr>
      <w:rFonts w:ascii="Tahoma" w:hAnsi="Tahoma" w:eastAsia="Tahom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ahoma" w:hAnsi="Tahoma" w:eastAsia="Tahom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ahoma" w:hAnsi="Tahoma" w:eastAsia="Tahom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ahoma" w:hAnsi="Tahoma" w:eastAsia="Tahom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ahoma" w:hAnsi="Tahoma" w:eastAsia="Tahom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ahoma" w:hAnsi="Tahoma" w:eastAsia="Tahom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ahoma" w:hAnsi="Tahoma" w:eastAsia="Tahom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ahoma" w:hAnsi="Tahoma" w:eastAsia="Tahoma"/>
      <w:b/>
      <w:bCs/>
      <w:color w:val="4F81BD" w:themeColor="accent1"/>
      <w:sz w:val="18"/>
      <w:szCs w:val="18"/>
    </w:rPr>
  </w:style>
  <w:style w:type="character" w:styleId="Strong">
    <w:name w:val="Strong"/>
    <w:basedOn w:val="DefaultParagraphFont"/>
    <w:uiPriority w:val="22"/>
    <w:qFormat/>
    <w:rsid w:val="00FC693F"/>
    <w:rPr>
      <w:rFonts w:ascii="Tahoma" w:hAnsi="Tahoma" w:eastAsia="Tahoma"/>
      <w:b/>
      <w:bCs/>
    </w:rPr>
  </w:style>
  <w:style w:type="character" w:styleId="Emphasis">
    <w:name w:val="Emphasis"/>
    <w:basedOn w:val="DefaultParagraphFont"/>
    <w:uiPriority w:val="20"/>
    <w:qFormat/>
    <w:rsid w:val="00FC693F"/>
    <w:rPr>
      <w:rFonts w:ascii="Tahoma" w:hAnsi="Tahoma" w:eastAsia="Tahom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ahoma" w:hAnsi="Tahoma" w:eastAsia="Tahoma"/>
      <w:b/>
      <w:bCs/>
      <w:i/>
      <w:iCs/>
      <w:color w:val="4F81BD" w:themeColor="accent1"/>
    </w:rPr>
  </w:style>
  <w:style w:type="character" w:customStyle="1" w:styleId="IntenseQuoteChar">
    <w:name w:val="Intense Quote Char"/>
    <w:basedOn w:val="DefaultParagraphFont"/>
    <w:link w:val="IntenseQuote"/>
    <w:uiPriority w:val="30"/>
    <w:rsid w:val="00FC693F"/>
    <w:rPr>
      <w:rFonts w:ascii="Tahoma" w:hAnsi="Tahoma" w:eastAsia="Tahoma"/>
      <w:b/>
      <w:bCs/>
      <w:i/>
      <w:iCs/>
      <w:color w:val="4F81BD" w:themeColor="accent1"/>
    </w:rPr>
  </w:style>
  <w:style w:type="character" w:styleId="SubtleEmphasis">
    <w:name w:val="Subtle Emphasis"/>
    <w:basedOn w:val="DefaultParagraphFont"/>
    <w:uiPriority w:val="19"/>
    <w:qFormat/>
    <w:rsid w:val="00FC693F"/>
    <w:rPr>
      <w:rFonts w:ascii="Tahoma" w:hAnsi="Tahoma" w:eastAsia="Tahoma"/>
      <w:i/>
      <w:iCs/>
      <w:color w:val="808080" w:themeColor="text1" w:themeTint="7F"/>
    </w:rPr>
  </w:style>
  <w:style w:type="character" w:styleId="IntenseEmphasis">
    <w:name w:val="Intense Emphasis"/>
    <w:basedOn w:val="DefaultParagraphFont"/>
    <w:uiPriority w:val="21"/>
    <w:qFormat/>
    <w:rsid w:val="00FC693F"/>
    <w:rPr>
      <w:rFonts w:ascii="Tahoma" w:hAnsi="Tahoma" w:eastAsia="Tahoma"/>
      <w:b/>
      <w:bCs/>
      <w:i/>
      <w:iCs/>
      <w:color w:val="4F81BD" w:themeColor="accent1"/>
    </w:rPr>
  </w:style>
  <w:style w:type="character" w:styleId="SubtleReference">
    <w:name w:val="Subtle Reference"/>
    <w:basedOn w:val="DefaultParagraphFont"/>
    <w:uiPriority w:val="31"/>
    <w:qFormat/>
    <w:rsid w:val="00FC693F"/>
    <w:rPr>
      <w:rFonts w:ascii="Tahoma" w:hAnsi="Tahoma" w:eastAsia="Tahoma"/>
      <w:smallCaps/>
      <w:color w:val="C0504D" w:themeColor="accent2"/>
      <w:u w:val="single"/>
    </w:rPr>
  </w:style>
  <w:style w:type="character" w:styleId="IntenseReference">
    <w:name w:val="Intense Reference"/>
    <w:basedOn w:val="DefaultParagraphFont"/>
    <w:uiPriority w:val="32"/>
    <w:qFormat/>
    <w:rsid w:val="00FC693F"/>
    <w:rPr>
      <w:rFonts w:ascii="Tahoma" w:hAnsi="Tahoma" w:eastAsia="Tahoma"/>
      <w:b/>
      <w:bCs/>
      <w:smallCaps/>
      <w:color w:val="C0504D" w:themeColor="accent2"/>
      <w:spacing w:val="5"/>
      <w:u w:val="single"/>
    </w:rPr>
  </w:style>
  <w:style w:type="character" w:styleId="BookTitle">
    <w:name w:val="Book Title"/>
    <w:basedOn w:val="DefaultParagraphFont"/>
    <w:uiPriority w:val="33"/>
    <w:qFormat/>
    <w:rsid w:val="00FC693F"/>
    <w:rPr>
      <w:rFonts w:ascii="Tahoma" w:hAnsi="Tahoma" w:eastAsia="Tahoma"/>
      <w:b/>
      <w:bCs/>
      <w:smallCaps/>
      <w:spacing w:val="5"/>
    </w:rPr>
  </w:style>
  <w:style w:type="paragraph" w:styleId="TOCHeading">
    <w:name w:val="TOC Heading"/>
    <w:basedOn w:val="Heading1"/>
    <w:next w:val="Normal"/>
    <w:uiPriority w:val="39"/>
    <w:semiHidden/>
    <w:unhideWhenUsed/>
    <w:qFormat/>
    <w:rsid w:val="00FC693F"/>
    <w:pPr>
      <w:outlineLvl w:val="9"/>
    </w:pPr>
    <w:rPr>
      <w:rFonts w:ascii="Tahoma" w:hAnsi="Tahoma" w:eastAsia="Tahoma"/>
    </w:rPr>
  </w:style>
  <w:style w:type="table" w:styleId="TableGrid">
    <w:name w:val="Table Grid"/>
    <w:basedOn w:val="TableNormal"/>
    <w:uiPriority w:val="59"/>
    <w:rsid w:val="00FC693F"/>
    <w:pPr>
      <w:spacing w:after="0" w:line="240" w:lineRule="auto"/>
    </w:pPr>
    <w:rPr>
      <w:rFonts w:ascii="Tahoma" w:hAnsi="Tahoma" w:eastAsia="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ahoma" w:hAnsi="Tahoma" w:eastAsia="Tahom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ahoma" w:hAnsi="Tahoma" w:eastAsia="Tahom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ahoma" w:hAnsi="Tahoma" w:eastAsia="Tahom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ahoma" w:hAnsi="Tahoma" w:eastAsia="Tahom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ahoma" w:hAnsi="Tahoma" w:eastAsia="Tahom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ahoma" w:hAnsi="Tahoma" w:eastAsia="Tahom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ahoma" w:hAnsi="Tahoma" w:eastAsia="Tahom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ahoma" w:hAnsi="Tahoma" w:eastAsia="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ahoma" w:hAnsi="Tahoma" w:eastAsia="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ahoma" w:hAnsi="Tahoma" w:eastAsia="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ahoma" w:hAnsi="Tahoma" w:eastAsia="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ahoma" w:hAnsi="Tahoma" w:eastAsia="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ahoma" w:hAnsi="Tahoma" w:eastAsia="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ahoma" w:hAnsi="Tahoma" w:eastAsia="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ahoma" w:hAnsi="Tahoma" w:eastAsia="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ahoma" w:hAnsi="Tahoma" w:eastAsia="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ahoma" w:hAnsi="Tahoma" w:eastAsia="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ahoma" w:hAnsi="Tahoma" w:eastAsia="Tahom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ahoma" w:hAnsi="Tahoma" w:eastAsia="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ahoma" w:hAnsi="Tahoma" w:eastAsia="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ahoma" w:hAnsi="Tahoma" w:eastAsia="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ahoma" w:hAnsi="Tahoma" w:eastAsia="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ahoma" w:hAnsi="Tahoma" w:eastAsia="Tahom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ahoma" w:hAnsi="Tahoma" w:eastAsia="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ahoma" w:hAnsi="Tahoma" w:eastAsia="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