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76" w:lineRule="auto"/>
      </w:pPr>
      <w:r>
        <w:rPr>
          <w:rFonts w:ascii="Tahoma" w:hAnsi="Tahoma" w:cs="Tahoma" w:eastAsia="Tahoma"/>
          <w:sz w:val="32"/>
        </w:rPr>
        <w:t>Proyecto Integrador 2 de Analítica Empresarial Integrada</w:t>
      </w:r>
    </w:p>
    <w:p>
      <w:pPr>
        <w:spacing w:line="276" w:lineRule="auto"/>
        <w:jc w:val="both"/>
      </w:pPr>
      <w:r>
        <w:rPr>
          <w:rFonts w:ascii="Tahoma" w:hAnsi="Tahoma" w:cs="Tahoma" w:eastAsia="Tahoma"/>
          <w:b/>
          <w:sz w:val="24"/>
        </w:rPr>
        <w:t>Casos de trabajo para las semanas 9 a 15</w:t>
      </w:r>
    </w:p>
    <w:p>
      <w:pPr>
        <w:spacing w:line="276" w:lineRule="auto"/>
        <w:jc w:val="both"/>
      </w:pPr>
      <w:r>
        <w:rPr>
          <w:rFonts w:ascii="Tahoma" w:hAnsi="Tahoma" w:cs="Tahoma" w:eastAsia="Tahoma"/>
          <w:b w:val="0"/>
          <w:sz w:val="24"/>
        </w:rPr>
        <w:t>TECSUP · Big Data y Ciencia de Datos · 2026-II</w:t>
        <w:br/>
        <w:t>Docente: Pilar Rocío Sayán Mejía</w:t>
      </w:r>
    </w:p>
    <w:p>
      <w:pPr>
        <w:spacing w:line="276" w:lineRule="auto"/>
        <w:jc w:val="both"/>
      </w:pPr>
      <w:r>
        <w:rPr>
          <w:rFonts w:ascii="Tahoma" w:hAnsi="Tahoma" w:cs="Tahoma" w:eastAsia="Tahoma"/>
          <w:b w:val="0"/>
          <w:sz w:val="24"/>
        </w:rPr>
        <w:t>Cada grupo desarrollará un producto analítico que conecte predicción, asignación de recursos, control de operaciones, gobierno de datos y un asistente con IA. La entrega y sustentación corresponden a la Semana 16. Las decisiones deben expresarse en unidades, soles, capacidad y riesgos verificables.</w:t>
      </w:r>
    </w:p>
    <w:p>
      <w:pPr>
        <w:spacing w:line="276" w:lineRule="auto"/>
        <w:jc w:val="both"/>
      </w:pPr>
      <w:r>
        <w:rPr>
          <w:rFonts w:ascii="Tahoma" w:hAnsi="Tahoma" w:cs="Tahoma" w:eastAsia="Tahoma"/>
          <w:b w:val="0"/>
          <w:sz w:val="24"/>
        </w:rPr>
        <w:t>Datos y repositorio. Los datos de los cinco casos están en el repositorio del proyecto (pmd2-aei-2026ii). Cada grupo hace un fork, trabaja en la carpeta de su caso e incluye allí su Colab, su aplicación y su documentación. Cada carpeta contiene las tablas del caso, el diccionario de datos y un cuaderno de inicio. Los presupuestos, capacidades y efectos incrementales de cada caso son supuestos del enunciado y se pueden variar en el análisis de sensibilidad.</w:t>
      </w:r>
    </w:p>
    <w:tbl>
      <w:tblPr>
        <w:tblW w:type="auto" w:w="0"/>
        <w:tblLayout w:type="fixed"/>
        <w:tblLook w:firstColumn="1" w:firstRow="1" w:lastColumn="0" w:lastRow="0" w:noHBand="0" w:noVBand="1" w:val="04A0"/>
      </w:tblPr>
      <w:tblGrid>
        <w:gridCol w:w="907"/>
        <w:gridCol w:w="2381"/>
        <w:gridCol w:w="6690"/>
      </w:tblGrid>
      <w:tr>
        <w:trPr>
          <w:tblHeader/>
          <w:cantSplit/>
        </w:trPr>
        <w:tc>
          <w:tcPr>
            <w:tcW w:type="dxa" w:w="907"/>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Grupo</w:t>
            </w:r>
          </w:p>
        </w:tc>
        <w:tc>
          <w:tcPr>
            <w:tcW w:type="dxa" w:w="2381"/>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Caso</w:t>
            </w:r>
          </w:p>
        </w:tc>
        <w:tc>
          <w:tcPr>
            <w:tcW w:type="dxa" w:w="6690"/>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Actividad empresarial</w:t>
            </w:r>
          </w:p>
        </w:tc>
      </w:tr>
      <w:tr>
        <w:trPr>
          <w:cantSplit/>
        </w:trPr>
        <w:tc>
          <w:tcPr>
            <w:tcW w:type="dxa" w:w="907"/>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1</w:t>
            </w:r>
          </w:p>
        </w:tc>
        <w:tc>
          <w:tcPr>
            <w:tcW w:type="dxa" w:w="238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AndeHogar</w:t>
            </w:r>
          </w:p>
        </w:tc>
        <w:tc>
          <w:tcPr>
            <w:tcW w:type="dxa" w:w="669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Comercio electrónico de productos para el hogar</w:t>
            </w:r>
          </w:p>
        </w:tc>
      </w:tr>
      <w:tr>
        <w:trPr>
          <w:cantSplit/>
        </w:trPr>
        <w:tc>
          <w:tcPr>
            <w:tcW w:type="dxa" w:w="907"/>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2</w:t>
            </w:r>
          </w:p>
        </w:tc>
        <w:tc>
          <w:tcPr>
            <w:tcW w:type="dxa" w:w="2381"/>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Café de Origen</w:t>
            </w:r>
          </w:p>
        </w:tc>
        <w:tc>
          <w:tcPr>
            <w:tcW w:type="dxa" w:w="6690"/>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Suscripciones de café y venta directa</w:t>
            </w:r>
          </w:p>
        </w:tc>
      </w:tr>
      <w:tr>
        <w:trPr>
          <w:cantSplit/>
        </w:trPr>
        <w:tc>
          <w:tcPr>
            <w:tcW w:type="dxa" w:w="907"/>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3</w:t>
            </w:r>
          </w:p>
        </w:tc>
        <w:tc>
          <w:tcPr>
            <w:tcW w:type="dxa" w:w="238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VitalFit</w:t>
            </w:r>
          </w:p>
        </w:tc>
        <w:tc>
          <w:tcPr>
            <w:tcW w:type="dxa" w:w="669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Membresías y clases de gimnasio</w:t>
            </w:r>
          </w:p>
        </w:tc>
      </w:tr>
      <w:tr>
        <w:trPr>
          <w:cantSplit/>
        </w:trPr>
        <w:tc>
          <w:tcPr>
            <w:tcW w:type="dxa" w:w="907"/>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4</w:t>
            </w:r>
          </w:p>
        </w:tc>
        <w:tc>
          <w:tcPr>
            <w:tcW w:type="dxa" w:w="2381"/>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Suministros Sur</w:t>
            </w:r>
          </w:p>
        </w:tc>
        <w:tc>
          <w:tcPr>
            <w:tcW w:type="dxa" w:w="6690"/>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Distribución B2B para restaurantes y pequeños hoteles</w:t>
            </w:r>
          </w:p>
        </w:tc>
      </w:tr>
      <w:tr>
        <w:trPr>
          <w:cantSplit/>
        </w:trPr>
        <w:tc>
          <w:tcPr>
            <w:tcW w:type="dxa" w:w="907"/>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5</w:t>
            </w:r>
          </w:p>
        </w:tc>
        <w:tc>
          <w:tcPr>
            <w:tcW w:type="dxa" w:w="238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AulaActiva</w:t>
            </w:r>
          </w:p>
        </w:tc>
        <w:tc>
          <w:tcPr>
            <w:tcW w:type="dxa" w:w="669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Plataforma de formación continua por suscripción</w:t>
            </w:r>
          </w:p>
        </w:tc>
      </w:tr>
    </w:tbl>
    <w:p>
      <w:pPr>
        <w:spacing w:after="20" w:line="276" w:lineRule="auto"/>
        <w:jc w:val="both"/>
      </w:pPr>
    </w:p>
    <w:p>
      <w:pPr>
        <w:pStyle w:val="Heading2"/>
        <w:spacing w:line="276" w:lineRule="auto"/>
      </w:pPr>
      <w:r>
        <w:rPr>
          <w:rFonts w:ascii="Tahoma" w:hAnsi="Tahoma" w:cs="Tahoma" w:eastAsia="Tahoma"/>
          <w:sz w:val="24"/>
        </w:rPr>
        <w:t>Alcance y evaluación</w:t>
      </w:r>
    </w:p>
    <w:p>
      <w:pPr>
        <w:spacing w:line="276" w:lineRule="auto"/>
        <w:jc w:val="both"/>
      </w:pPr>
      <w:r>
        <w:rPr>
          <w:rFonts w:ascii="Tahoma" w:hAnsi="Tahoma" w:cs="Tahoma" w:eastAsia="Tahoma"/>
          <w:b w:val="0"/>
          <w:sz w:val="24"/>
        </w:rPr>
        <w:t>El PMD2 corresponde al LC8. La nota es el promedio simple de Código Colab y producto desplegado /20, Informe Gerencial /20 y Sustentación /20. El informe reúne la entrega final /16 y el checkpoint de Semana 14 /4. La sustentación se distribuye en 7 puntos grupales y 13 individuales.</w:t>
      </w:r>
    </w:p>
    <w:p>
      <w:pPr>
        <w:spacing w:line="276" w:lineRule="auto"/>
        <w:jc w:val="both"/>
      </w:pPr>
      <w:r>
        <w:rPr>
          <w:rFonts w:ascii="Tahoma" w:hAnsi="Tahoma" w:cs="Tahoma" w:eastAsia="Tahoma"/>
          <w:sz w:val="24"/>
        </w:rPr>
        <w:br w:type="page"/>
      </w:r>
    </w:p>
    <w:p>
      <w:pPr>
        <w:pStyle w:val="Heading1"/>
        <w:spacing w:line="276" w:lineRule="auto"/>
      </w:pPr>
      <w:r>
        <w:rPr>
          <w:rFonts w:ascii="Tahoma" w:hAnsi="Tahoma" w:cs="Tahoma" w:eastAsia="Tahoma"/>
          <w:sz w:val="24"/>
        </w:rPr>
        <w:t>Ruta común de desarrollo</w:t>
      </w:r>
    </w:p>
    <w:tbl>
      <w:tblPr>
        <w:tblW w:type="auto" w:w="0"/>
        <w:tblLayout w:type="fixed"/>
        <w:tblLook w:firstColumn="1" w:firstRow="1" w:lastColumn="0" w:lastRow="0" w:noHBand="0" w:noVBand="1" w:val="04A0"/>
      </w:tblPr>
      <w:tblGrid>
        <w:gridCol w:w="907"/>
        <w:gridCol w:w="2324"/>
        <w:gridCol w:w="6746"/>
      </w:tblGrid>
      <w:tr>
        <w:trPr>
          <w:tblHeader/>
          <w:cantSplit/>
        </w:trPr>
        <w:tc>
          <w:tcPr>
            <w:tcW w:type="dxa" w:w="907"/>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Semana</w:t>
            </w:r>
          </w:p>
        </w:tc>
        <w:tc>
          <w:tcPr>
            <w:tcW w:type="dxa" w:w="2324"/>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Trabajo obligatorio</w:t>
            </w:r>
          </w:p>
        </w:tc>
        <w:tc>
          <w:tcPr>
            <w:tcW w:type="dxa" w:w="6746"/>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Evidencia verificable</w:t>
            </w:r>
          </w:p>
        </w:tc>
      </w:tr>
      <w:tr>
        <w:trPr>
          <w:cantSplit/>
        </w:trPr>
        <w:tc>
          <w:tcPr>
            <w:tcW w:type="dxa" w:w="907"/>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9</w:t>
            </w:r>
          </w:p>
        </w:tc>
        <w:tc>
          <w:tcPr>
            <w:tcW w:type="dxa" w:w="232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Clientes y valor económico</w:t>
            </w:r>
          </w:p>
        </w:tc>
        <w:tc>
          <w:tcPr>
            <w:tcW w:type="dxa" w:w="674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RFM y CLV simplificado; modelo de churn con etiqueta y horizonte explícitos; curva o tabla de umbrales, número de contactos y valor económico.</w:t>
            </w:r>
          </w:p>
        </w:tc>
      </w:tr>
      <w:tr>
        <w:trPr>
          <w:cantSplit/>
        </w:trPr>
        <w:tc>
          <w:tcPr>
            <w:tcW w:type="dxa" w:w="907"/>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10</w:t>
            </w:r>
          </w:p>
        </w:tc>
        <w:tc>
          <w:tcPr>
            <w:tcW w:type="dxa" w:w="2324"/>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Pronóstico</w:t>
            </w:r>
          </w:p>
        </w:tc>
        <w:tc>
          <w:tcPr>
            <w:tcW w:type="dxa" w:w="6746"/>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Modelo ingenuo obligatorio y al menos un modelo estadístico; backtesting temporal, errores y traducción a compras, producción o capacidad.</w:t>
            </w:r>
          </w:p>
        </w:tc>
      </w:tr>
      <w:tr>
        <w:trPr>
          <w:cantSplit/>
        </w:trPr>
        <w:tc>
          <w:tcPr>
            <w:tcW w:type="dxa" w:w="907"/>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11</w:t>
            </w:r>
          </w:p>
        </w:tc>
        <w:tc>
          <w:tcPr>
            <w:tcW w:type="dxa" w:w="232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Optimización con PuLP</w:t>
            </w:r>
          </w:p>
        </w:tc>
        <w:tc>
          <w:tcPr>
            <w:tcW w:type="dxa" w:w="674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Variables, función objetivo y restricciones; solución factible frente a la política actual; margen y recursos comparables.</w:t>
            </w:r>
          </w:p>
        </w:tc>
      </w:tr>
      <w:tr>
        <w:trPr>
          <w:cantSplit/>
        </w:trPr>
        <w:tc>
          <w:tcPr>
            <w:tcW w:type="dxa" w:w="907"/>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12</w:t>
            </w:r>
          </w:p>
        </w:tc>
        <w:tc>
          <w:tcPr>
            <w:tcW w:type="dxa" w:w="2324"/>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Procesos internos</w:t>
            </w:r>
          </w:p>
        </w:tc>
        <w:tc>
          <w:tcPr>
            <w:tcW w:type="dxa" w:w="6746"/>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Detección de anomalías, carta de control apropiada, umbrales y responsable de cada alerta.</w:t>
            </w:r>
          </w:p>
        </w:tc>
      </w:tr>
      <w:tr>
        <w:trPr>
          <w:cantSplit/>
        </w:trPr>
        <w:tc>
          <w:tcPr>
            <w:tcW w:type="dxa" w:w="907"/>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13</w:t>
            </w:r>
          </w:p>
        </w:tc>
        <w:tc>
          <w:tcPr>
            <w:tcW w:type="dxa" w:w="232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Gobierno y explicabilidad</w:t>
            </w:r>
          </w:p>
        </w:tc>
        <w:tc>
          <w:tcPr>
            <w:tcW w:type="dxa" w:w="674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Contrato y linaje de datos, auditoría por subgrupos, SHAP y matriz normativa con fuentes oficiales vigentes.</w:t>
            </w:r>
          </w:p>
        </w:tc>
      </w:tr>
      <w:tr>
        <w:trPr>
          <w:cantSplit/>
        </w:trPr>
        <w:tc>
          <w:tcPr>
            <w:tcW w:type="dxa" w:w="907"/>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14</w:t>
            </w:r>
          </w:p>
        </w:tc>
        <w:tc>
          <w:tcPr>
            <w:tcW w:type="dxa" w:w="2324"/>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Asistente y checkpoint</w:t>
            </w:r>
          </w:p>
        </w:tc>
        <w:tc>
          <w:tcPr>
            <w:tcW w:type="dxa" w:w="6746"/>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Text-to-SQL o RAG, conjunto fijo de evaluación, tasa de acierto y alucinación; checkpoint /4.</w:t>
            </w:r>
          </w:p>
        </w:tc>
      </w:tr>
      <w:tr>
        <w:trPr>
          <w:cantSplit/>
        </w:trPr>
        <w:tc>
          <w:tcPr>
            <w:tcW w:type="dxa" w:w="907"/>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15</w:t>
            </w:r>
          </w:p>
        </w:tc>
        <w:tc>
          <w:tcPr>
            <w:tcW w:type="dxa" w:w="232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Producto y comunicación</w:t>
            </w:r>
          </w:p>
        </w:tc>
        <w:tc>
          <w:tcPr>
            <w:tcW w:type="dxa" w:w="674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Streamlit desplegado, informe gerencial, hoja de ruta y ensayo del pitch.</w:t>
            </w:r>
          </w:p>
        </w:tc>
      </w:tr>
      <w:tr>
        <w:trPr>
          <w:cantSplit/>
        </w:trPr>
        <w:tc>
          <w:tcPr>
            <w:tcW w:type="dxa" w:w="907"/>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16</w:t>
            </w:r>
          </w:p>
        </w:tc>
        <w:tc>
          <w:tcPr>
            <w:tcW w:type="dxa" w:w="2324"/>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Entrega y sustentación</w:t>
            </w:r>
          </w:p>
        </w:tc>
        <w:tc>
          <w:tcPr>
            <w:tcW w:type="dxa" w:w="6746"/>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Colab reproducible, repositorio, informe, enlace del producto y demostración en vivo.</w:t>
            </w:r>
          </w:p>
        </w:tc>
      </w:tr>
    </w:tbl>
    <w:p>
      <w:pPr>
        <w:spacing w:after="20" w:line="276" w:lineRule="auto"/>
        <w:jc w:val="both"/>
      </w:pPr>
    </w:p>
    <w:p>
      <w:pPr>
        <w:pStyle w:val="Heading2"/>
        <w:spacing w:line="276" w:lineRule="auto"/>
      </w:pPr>
      <w:r>
        <w:rPr>
          <w:rFonts w:ascii="Tahoma" w:hAnsi="Tahoma" w:cs="Tahoma" w:eastAsia="Tahoma"/>
          <w:sz w:val="24"/>
        </w:rPr>
        <w:t>Separación temporal y comparación justa</w:t>
      </w:r>
    </w:p>
    <w:p>
      <w:pPr>
        <w:spacing w:line="276" w:lineRule="auto"/>
        <w:jc w:val="both"/>
      </w:pPr>
      <w:r>
        <w:rPr>
          <w:rFonts w:ascii="Tahoma" w:hAnsi="Tahoma" w:cs="Tahoma" w:eastAsia="Tahoma"/>
          <w:b w:val="0"/>
          <w:sz w:val="24"/>
        </w:rPr>
        <w:t>Protocolo de referencia: historial desde enero de 2023 y fecha de decisión 1 de noviembre de 2026. Usar cohortes mensuales (el corte de cada cohorte es el primer domingo del mes) con entrenamiento hasta abril, validación en mayo y prueba en junio de 2026. Verificar que el seguimiento de cada etiqueta haya terminado antes de utilizarla, especialmente si depende de un vencimiento; excluir etiquetas inmaduras. El plan operativo abarca del 2 al 29 de noviembre de 2026, en cuatro bloques de siete días. Los presupuestos corresponden a ese plan.</w:t>
      </w:r>
    </w:p>
    <w:p>
      <w:pPr>
        <w:spacing w:line="276" w:lineRule="auto"/>
        <w:jc w:val="both"/>
      </w:pPr>
      <w:r>
        <w:rPr>
          <w:rFonts w:ascii="Tahoma" w:hAnsi="Tahoma" w:cs="Tahoma" w:eastAsia="Tahoma"/>
          <w:b w:val="0"/>
          <w:sz w:val="24"/>
        </w:rPr>
        <w:t>Ningún cliente debe aparecer a la vez en entrenamiento, validación y prueba del ejercicio principal: asignar clientes a conjuntos disjuntos y ordenar los cortes cronológicamente. Cada predictor se calcula solo con eventos disponibles antes del corte. La cartera al corte del 1 de noviembre se utiliza para decidir y no para escoger modelos ni umbrales.</w:t>
      </w:r>
    </w:p>
    <w:p>
      <w:pPr>
        <w:spacing w:line="276" w:lineRule="auto"/>
        <w:jc w:val="both"/>
      </w:pPr>
      <w:r>
        <w:rPr>
          <w:rFonts w:ascii="Tahoma" w:hAnsi="Tahoma" w:cs="Tahoma" w:eastAsia="Tahoma"/>
          <w:b w:val="0"/>
          <w:sz w:val="24"/>
        </w:rPr>
        <w:t>Para demanda reservar las cuatro últimas semanas históricas como prueba final y realizar al menos tres ventanas de validación con horizonte de cuatro semanas dentro del periodo anterior. Ajustar imputación, escalado y modelos con entrenamiento. Comparar métodos usando las mismas semanas y series. MAE y WAPE son opciones; si el denominador de WAPE es cero, reportar el caso y usar MAE.</w:t>
      </w:r>
    </w:p>
    <w:p>
      <w:pPr>
        <w:spacing w:line="276" w:lineRule="auto"/>
        <w:jc w:val="both"/>
      </w:pPr>
      <w:r>
        <w:rPr>
          <w:rFonts w:ascii="Tahoma" w:hAnsi="Tahoma" w:cs="Tahoma" w:eastAsia="Tahoma"/>
          <w:sz w:val="24"/>
        </w:rPr>
        <w:br w:type="page"/>
      </w:r>
    </w:p>
    <w:p>
      <w:pPr>
        <w:pStyle w:val="Heading1"/>
        <w:spacing w:line="276" w:lineRule="auto"/>
      </w:pPr>
      <w:r>
        <w:rPr>
          <w:rFonts w:ascii="Tahoma" w:hAnsi="Tahoma" w:cs="Tahoma" w:eastAsia="Tahoma"/>
          <w:sz w:val="24"/>
        </w:rPr>
        <w:t>Contrato de datos y preparación del caso</w:t>
      </w:r>
    </w:p>
    <w:p>
      <w:pPr>
        <w:spacing w:line="276" w:lineRule="auto"/>
        <w:jc w:val="both"/>
      </w:pPr>
      <w:r>
        <w:rPr>
          <w:rFonts w:ascii="Tahoma" w:hAnsi="Tahoma" w:cs="Tahoma" w:eastAsia="Tahoma"/>
          <w:b w:val="0"/>
          <w:sz w:val="24"/>
        </w:rPr>
        <w:t>Los datos de cada caso se entregan en tablas separadas, en CSV UTF-8, con el siguiente contrato mínimo. Las tablas están en la carpeta data de cada caso del repositorio. El esquema común facilita una evaluación equivalente, pero cada tabla se interpreta con las unidades del sector.</w:t>
      </w:r>
    </w:p>
    <w:tbl>
      <w:tblPr>
        <w:tblW w:type="auto" w:w="0"/>
        <w:tblLayout w:type="fixed"/>
        <w:tblLook w:firstColumn="1" w:firstRow="1" w:lastColumn="0" w:lastRow="0" w:noHBand="0" w:noVBand="1" w:val="04A0"/>
      </w:tblPr>
      <w:tblGrid>
        <w:gridCol w:w="2835"/>
        <w:gridCol w:w="7143"/>
      </w:tblGrid>
      <w:tr>
        <w:trPr>
          <w:tblHeader/>
          <w:cantSplit/>
        </w:trPr>
        <w:tc>
          <w:tcPr>
            <w:tcW w:type="dxa" w:w="2835"/>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Tabla y granularidad</w:t>
            </w:r>
          </w:p>
        </w:tc>
        <w:tc>
          <w:tcPr>
            <w:tcW w:type="dxa" w:w="7143"/>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Campos mínimos y reglas</w:t>
            </w:r>
          </w:p>
        </w:tc>
      </w:tr>
      <w:tr>
        <w:trPr>
          <w:cantSplit/>
        </w:trPr>
        <w:tc>
          <w:tcPr>
            <w:tcW w:type="dxa" w:w="2835"/>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clientes</w:t>
              <w:br/>
              <w:t>Una fila por cliente</w:t>
            </w:r>
          </w:p>
        </w:tc>
        <w:tc>
          <w:tcPr>
            <w:tcW w:type="dxa" w:w="7143"/>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id_cliente único; fecha_alta; zona o sede; canal; segmento; consentimiento_contacto. No incluir nombres, documentos, teléfonos ni correos reales.</w:t>
            </w:r>
          </w:p>
        </w:tc>
      </w:tr>
      <w:tr>
        <w:trPr>
          <w:cantSplit/>
        </w:trPr>
        <w:tc>
          <w:tcPr>
            <w:tcW w:type="dxa" w:w="2835"/>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actividad</w:t>
              <w:br/>
              <w:t>Un evento por cliente y fecha</w:t>
            </w:r>
          </w:p>
        </w:tc>
        <w:tc>
          <w:tcPr>
            <w:tcW w:type="dxa" w:w="7143"/>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id_evento único; id_cliente; fecha_evento; tipo_evento; unidades; ingreso; coste_variable; estado. Registrar por separado solicitudes y atenciones o entregas.</w:t>
            </w:r>
          </w:p>
        </w:tc>
      </w:tr>
      <w:tr>
        <w:trPr>
          <w:cantSplit/>
        </w:trPr>
        <w:tc>
          <w:tcPr>
            <w:tcW w:type="dxa" w:w="2835"/>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cohortes</w:t>
              <w:br/>
              <w:t>Un cliente por fecha de corte</w:t>
            </w:r>
          </w:p>
        </w:tc>
        <w:tc>
          <w:tcPr>
            <w:tcW w:type="dxa" w:w="7143"/>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id_cliente + fecha_corte; elegible; seguimiento_fin; churn; definición de la etiqueta. Predictores derivados exclusivamente de actividad pasada. Vencimiento y cancelación cuando sean necesarios.</w:t>
            </w:r>
          </w:p>
        </w:tc>
      </w:tr>
      <w:tr>
        <w:trPr>
          <w:cantSplit/>
        </w:trPr>
        <w:tc>
          <w:tcPr>
            <w:tcW w:type="dxa" w:w="2835"/>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demanda</w:t>
              <w:br/>
              <w:t>Semana por sede y línea</w:t>
            </w:r>
          </w:p>
        </w:tc>
        <w:tc>
          <w:tcPr>
            <w:tcW w:type="dxa" w:w="7143"/>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semana; sede; linea; solicitado; atendido; faltante; precio; coste_unitario. Clave compuesta única y cobertura de semanas sin movimiento.</w:t>
            </w:r>
          </w:p>
        </w:tc>
      </w:tr>
      <w:tr>
        <w:trPr>
          <w:cantSplit/>
        </w:trPr>
        <w:tc>
          <w:tcPr>
            <w:tcW w:type="dxa" w:w="2835"/>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recursos</w:t>
              <w:br/>
              <w:t>Periodo por recurso o línea</w:t>
            </w:r>
          </w:p>
        </w:tc>
        <w:tc>
          <w:tcPr>
            <w:tcW w:type="dxa" w:w="7143"/>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periodo; recurso; linea; disponibilidad; consumo_unitario; coste; margen; límite; unidad. Incluir elegibilidad y una tabla de compatibilidades si aplica.</w:t>
            </w:r>
          </w:p>
        </w:tc>
      </w:tr>
      <w:tr>
        <w:trPr>
          <w:cantSplit/>
        </w:trPr>
        <w:tc>
          <w:tcPr>
            <w:tcW w:type="dxa" w:w="2835"/>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operaciones</w:t>
              <w:br/>
              <w:t>Un evento operativo</w:t>
            </w:r>
          </w:p>
        </w:tc>
        <w:tc>
          <w:tcPr>
            <w:tcW w:type="dxa" w:w="7143"/>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id_operacion; fecha_hora; sede; tipo; valor; unidad; tamaño_muestra; denominador cuando se calculen proporciones.</w:t>
            </w:r>
          </w:p>
        </w:tc>
      </w:tr>
      <w:tr>
        <w:trPr>
          <w:cantSplit/>
        </w:trPr>
        <w:tc>
          <w:tcPr>
            <w:tcW w:type="dxa" w:w="2835"/>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politica_actual</w:t>
              <w:br/>
              <w:t>Una regla por decisión</w:t>
            </w:r>
          </w:p>
        </w:tc>
        <w:tc>
          <w:tcPr>
            <w:tcW w:type="dxa" w:w="7143"/>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regla_id; alcance; prioridad; cantidades; coste; fecha_vigencia. Debe permitir reconstruir el escenario actual sin decisiones manuales ocultas.</w:t>
            </w:r>
          </w:p>
        </w:tc>
      </w:tr>
      <w:tr>
        <w:trPr>
          <w:cantSplit/>
        </w:trPr>
        <w:tc>
          <w:tcPr>
            <w:tcW w:type="dxa" w:w="2835"/>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documentos</w:t>
              <w:br/>
              <w:t>Un documento versionado</w:t>
            </w:r>
          </w:p>
        </w:tc>
        <w:tc>
          <w:tcPr>
            <w:tcW w:type="dxa" w:w="7143"/>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doc_id; título; versión; fecha_vigencia; texto; fuente o responsable. Utilizarlo para RAG, gobierno y pruebas del asistente.</w:t>
            </w:r>
          </w:p>
        </w:tc>
      </w:tr>
    </w:tbl>
    <w:p>
      <w:pPr>
        <w:spacing w:after="20" w:line="276" w:lineRule="auto"/>
        <w:jc w:val="both"/>
      </w:pPr>
    </w:p>
    <w:p>
      <w:pPr>
        <w:pStyle w:val="Heading2"/>
        <w:spacing w:line="276" w:lineRule="auto"/>
      </w:pPr>
      <w:r>
        <w:rPr>
          <w:rFonts w:ascii="Tahoma" w:hAnsi="Tahoma" w:cs="Tahoma" w:eastAsia="Tahoma"/>
          <w:sz w:val="24"/>
        </w:rPr>
        <w:t>Volumen y controles de recepción</w:t>
      </w:r>
    </w:p>
    <w:p>
      <w:pPr>
        <w:spacing w:line="276" w:lineRule="auto"/>
        <w:jc w:val="both"/>
      </w:pPr>
      <w:r>
        <w:rPr>
          <w:rFonts w:ascii="Tahoma" w:hAnsi="Tahoma" w:cs="Tahoma" w:eastAsia="Tahoma"/>
          <w:b w:val="0"/>
          <w:sz w:val="24"/>
        </w:rPr>
        <w:t>Referencia común: más de 1 500 clientes por caso, cohortes con ambas clases en cada partición, 200 semanas (casi 46 meses) de demanda semanal y más de 30 periodos estables para la carta de control. Cada subgrupo evaluado debe tener denominadores suficientes; si no los tiene, se informa la limitación.</w:t>
      </w:r>
    </w:p>
    <w:p>
      <w:pPr>
        <w:spacing w:line="276" w:lineRule="auto"/>
        <w:jc w:val="both"/>
      </w:pPr>
      <w:r>
        <w:rPr>
          <w:rFonts w:ascii="Tahoma" w:hAnsi="Tahoma" w:cs="Tahoma" w:eastAsia="Tahoma"/>
          <w:b w:val="0"/>
          <w:sz w:val="24"/>
        </w:rPr>
        <w:t>Antes de modelar, el equipo comprueba la unicidad de claves, la integridad de relaciones, las fechas posteriores al alta, los estados y unidades válidos, los totales conciliados y la disponibilidad temporal; el cuaderno de inicio de cada caso incluye estos controles. Las anomalías que se detecten son señales para revisar, no evidencia de fraude.</w:t>
      </w:r>
    </w:p>
    <w:p>
      <w:pPr>
        <w:spacing w:line="276" w:lineRule="auto"/>
        <w:jc w:val="both"/>
      </w:pPr>
      <w:r>
        <w:rPr>
          <w:rFonts w:ascii="Tahoma" w:hAnsi="Tahoma" w:cs="Tahoma" w:eastAsia="Tahoma"/>
          <w:sz w:val="24"/>
        </w:rPr>
        <w:br w:type="page"/>
      </w:r>
    </w:p>
    <w:p>
      <w:pPr>
        <w:pStyle w:val="Heading1"/>
        <w:spacing w:line="276" w:lineRule="auto"/>
      </w:pPr>
      <w:r>
        <w:rPr>
          <w:rFonts w:ascii="Tahoma" w:hAnsi="Tahoma" w:cs="Tahoma" w:eastAsia="Tahoma"/>
          <w:sz w:val="24"/>
        </w:rPr>
        <w:t>Reglas para valorar y defender las decisiones</w:t>
      </w:r>
    </w:p>
    <w:p>
      <w:pPr>
        <w:pStyle w:val="Heading2"/>
        <w:spacing w:line="276" w:lineRule="auto"/>
      </w:pPr>
      <w:r>
        <w:rPr>
          <w:rFonts w:ascii="Tahoma" w:hAnsi="Tahoma" w:cs="Tahoma" w:eastAsia="Tahoma"/>
          <w:sz w:val="24"/>
        </w:rPr>
        <w:t>Valor económico de retención</w:t>
      </w:r>
    </w:p>
    <w:p>
      <w:pPr>
        <w:spacing w:line="276" w:lineRule="auto"/>
        <w:jc w:val="both"/>
      </w:pPr>
      <w:r>
        <w:rPr>
          <w:rFonts w:ascii="Tahoma" w:hAnsi="Tahoma" w:cs="Tahoma" w:eastAsia="Tahoma"/>
          <w:b w:val="0"/>
          <w:sz w:val="24"/>
        </w:rPr>
        <w:t>Calcular una aproximación de CLV como contribución mensual media histórica multiplicada por un horizonte común de seis meses. Declarar que omite renovación futura, descuento y variación del margen salvo que el equipo los modele expresamente. Comparar también resultados por segmentos RFM cuando sean pertinentes.</w:t>
      </w:r>
    </w:p>
    <w:p>
      <w:pPr>
        <w:spacing w:line="276" w:lineRule="auto"/>
        <w:jc w:val="both"/>
      </w:pPr>
      <w:r>
        <w:rPr>
          <w:rFonts w:ascii="Tahoma" w:hAnsi="Tahoma" w:cs="Tahoma" w:eastAsia="Tahoma"/>
          <w:b w:val="0"/>
          <w:sz w:val="24"/>
        </w:rPr>
        <w:t>Valor esperado incremental de contactar al cliente i = probabilidad de churn_i × efecto incremental supuesto_i × CLV_i − coste_contacto_i − coste esperado del incentivo_i. El efecto representa la fracción de abandono evitable entre clientes que abandonarían; usar un supuesto único y explícito para esa interpretación. Si se modela una reducción absoluta de riesgo, no volver a multiplicarla por la probabilidad de churn.</w:t>
      </w:r>
    </w:p>
    <w:p>
      <w:pPr>
        <w:spacing w:line="276" w:lineRule="auto"/>
        <w:jc w:val="both"/>
      </w:pPr>
      <w:r>
        <w:rPr>
          <w:rFonts w:ascii="Tahoma" w:hAnsi="Tahoma" w:cs="Tahoma" w:eastAsia="Tahoma"/>
          <w:b w:val="0"/>
          <w:sz w:val="24"/>
        </w:rPr>
        <w:t>El umbral se elige con validación y restricciones económicas. El test se conserva para informar el desempeño final. Presentar matriz de confusión, precision, recall, PR-AUC cuando proceda y comparación con una regla sencilla. Un modelo de riesgo no estima por sí solo el efecto causal del contacto. Incluir el escenario de efecto cero y excluir contactos con valor incremental negativo cuando no exista una obligación de servicio.</w:t>
      </w:r>
    </w:p>
    <w:p>
      <w:pPr>
        <w:pStyle w:val="Heading2"/>
        <w:spacing w:line="276" w:lineRule="auto"/>
      </w:pPr>
      <w:r>
        <w:rPr>
          <w:rFonts w:ascii="Tahoma" w:hAnsi="Tahoma" w:cs="Tahoma" w:eastAsia="Tahoma"/>
          <w:sz w:val="24"/>
        </w:rPr>
        <w:t>Optimización y control operativo</w:t>
      </w:r>
    </w:p>
    <w:p>
      <w:pPr>
        <w:spacing w:line="276" w:lineRule="auto"/>
        <w:jc w:val="both"/>
      </w:pPr>
      <w:r>
        <w:rPr>
          <w:rFonts w:ascii="Tahoma" w:hAnsi="Tahoma" w:cs="Tahoma" w:eastAsia="Tahoma"/>
          <w:b w:val="0"/>
          <w:sz w:val="24"/>
        </w:rPr>
        <w:t>Cada caso puede resolverse con un solo programa que articule decisiones o con dos programas conectados, retención y operación. Los presupuestos se concilian y los horizontes se declaran: la retención se valora a seis meses y la operación a cuatro semanas. Reportar ambos resultados por separado; solo agregarlos si se lleva todo a un horizonte común y se elimina el solapamiento de ingresos. El solver debe informar su estado; no llamar óptima a una solución infactible o no resuelta. Comprobar restricciones con tolerancia numérica y comparar con la política actual bajo las mismas hipótesis.</w:t>
      </w:r>
    </w:p>
    <w:p>
      <w:pPr>
        <w:spacing w:line="276" w:lineRule="auto"/>
        <w:jc w:val="both"/>
      </w:pPr>
      <w:r>
        <w:rPr>
          <w:rFonts w:ascii="Tahoma" w:hAnsi="Tahoma" w:cs="Tahoma" w:eastAsia="Tahoma"/>
          <w:b w:val="0"/>
          <w:sz w:val="24"/>
        </w:rPr>
        <w:t>Para las cartas de control: definir unidad de observación, periodo base, estadístico y supuestos. No ajustar límites con el mismo periodo que se pretende vigilar ni eliminar puntos solo para conseguir estabilidad. Separar límites estadísticos de metas de servicio. Si no hay una base estable, documentar la limitación y proponer una revisión antes de activar alertas automáticas.</w:t>
      </w:r>
    </w:p>
    <w:p>
      <w:pPr>
        <w:pStyle w:val="Heading2"/>
        <w:spacing w:line="276" w:lineRule="auto"/>
      </w:pPr>
      <w:r>
        <w:rPr>
          <w:rFonts w:ascii="Tahoma" w:hAnsi="Tahoma" w:cs="Tahoma" w:eastAsia="Tahoma"/>
          <w:sz w:val="24"/>
        </w:rPr>
        <w:t>Gobierno y asistente</w:t>
      </w:r>
    </w:p>
    <w:p>
      <w:pPr>
        <w:spacing w:line="276" w:lineRule="auto"/>
        <w:jc w:val="both"/>
      </w:pPr>
      <w:r>
        <w:rPr>
          <w:rFonts w:ascii="Tahoma" w:hAnsi="Tahoma" w:cs="Tahoma" w:eastAsia="Tahoma"/>
          <w:b w:val="0"/>
          <w:sz w:val="24"/>
        </w:rPr>
        <w:t>Definir propietario, responsable de calidad y responsable técnico; contrato, linaje, acceso, retención y revisión humana. Documentar aplicabilidad de la Ley 29733, su reglamento y la Ley 31814 y su reglamento mediante fuentes oficiales vigentes. El EU AI Act se analiza solo si existe un nexo de aplicación que el equipo justifique. No copiar obligaciones o fechas sin verificarlas.</w:t>
      </w:r>
    </w:p>
    <w:p>
      <w:pPr>
        <w:spacing w:line="276" w:lineRule="auto"/>
        <w:jc w:val="both"/>
      </w:pPr>
      <w:r>
        <w:rPr>
          <w:rFonts w:ascii="Tahoma" w:hAnsi="Tahoma" w:cs="Tahoma" w:eastAsia="Tahoma"/>
          <w:b w:val="0"/>
          <w:sz w:val="24"/>
        </w:rPr>
        <w:t>Elegir text-to-SQL o RAG. Preparar al menos 20 preguntas fijas: 12 respondibles y 8 de abstención, ambigüedad, acceso no permitido o instrucciones adversarias. Registrar pregunta, respuesta esperada, fuente, respuesta observada, acierto, afirmaciones no sustentadas, latencia y coste si está disponible. Comparar con una consulta o recuperación determinista; una demostración preparada sin evaluación no demuestra un asistente LLM funcional.</w:t>
      </w:r>
    </w:p>
    <w:p>
      <w:pPr>
        <w:spacing w:line="276" w:lineRule="auto"/>
        <w:jc w:val="both"/>
      </w:pPr>
      <w:r>
        <w:rPr>
          <w:rFonts w:ascii="Tahoma" w:hAnsi="Tahoma" w:cs="Tahoma" w:eastAsia="Tahoma"/>
          <w:b w:val="0"/>
          <w:sz w:val="24"/>
        </w:rPr>
        <w:t>Text-to-SQL opera en modo de solo lectura con tablas permitidas y evaluación del resultado, no de igualdad literal de SQL. RAG cita documentos y versiones y se abstiene sin evidencia. No introducir claves de API en GitHub. Si no hay acceso a un LLM, presentar el prototipo y sus pruebas pendientes con esa limitación explícita, sin afirmar que se ejecutó.</w:t>
      </w:r>
    </w:p>
    <w:p>
      <w:pPr>
        <w:spacing w:line="276" w:lineRule="auto"/>
        <w:jc w:val="both"/>
      </w:pPr>
      <w:r>
        <w:rPr>
          <w:rFonts w:ascii="Tahoma" w:hAnsi="Tahoma" w:cs="Tahoma" w:eastAsia="Tahoma"/>
          <w:sz w:val="24"/>
        </w:rPr>
        <w:br w:type="page"/>
      </w:r>
    </w:p>
    <w:p>
      <w:pPr>
        <w:pStyle w:val="Heading1"/>
        <w:spacing w:line="276" w:lineRule="auto"/>
      </w:pPr>
      <w:r>
        <w:rPr>
          <w:rFonts w:ascii="Tahoma" w:hAnsi="Tahoma" w:cs="Tahoma" w:eastAsia="Tahoma"/>
          <w:sz w:val="24"/>
        </w:rPr>
        <w:t>Grupo 1 AndeHogar</w:t>
      </w:r>
    </w:p>
    <w:p>
      <w:pPr>
        <w:spacing w:line="276" w:lineRule="auto"/>
        <w:jc w:val="both"/>
      </w:pPr>
      <w:r>
        <w:rPr>
          <w:rFonts w:ascii="Tahoma" w:hAnsi="Tahoma" w:cs="Tahoma" w:eastAsia="Tahoma"/>
          <w:b/>
          <w:sz w:val="24"/>
        </w:rPr>
        <w:t>Comercio electrónico de productos para el hogar</w:t>
      </w:r>
    </w:p>
    <w:p>
      <w:pPr>
        <w:pStyle w:val="Heading2"/>
        <w:spacing w:line="276" w:lineRule="auto"/>
      </w:pPr>
      <w:r>
        <w:rPr>
          <w:rFonts w:ascii="Tahoma" w:hAnsi="Tahoma" w:cs="Tahoma" w:eastAsia="Tahoma"/>
          <w:sz w:val="24"/>
        </w:rPr>
        <w:t>Situación empresarial</w:t>
      </w:r>
    </w:p>
    <w:p>
      <w:pPr>
        <w:spacing w:line="276" w:lineRule="auto"/>
        <w:jc w:val="both"/>
      </w:pPr>
      <w:r>
        <w:rPr>
          <w:rFonts w:ascii="Tahoma" w:hAnsi="Tahoma" w:cs="Tahoma" w:eastAsia="Tahoma"/>
          <w:b w:val="0"/>
          <w:sz w:val="24"/>
        </w:rPr>
        <w:t>AndeHogar vende pequeños electrodomésticos y artículos del hogar en Lima, Arequipa y Cusco. Marketing propone descuentos generales para recuperar compradores, mientras Operaciones advierte que una campaña puede agravar los quiebres de inventario. Finanzas pide demostrar el margen incremental esperado y reservar capacidad para pedidos sin promoción.</w:t>
      </w:r>
    </w:p>
    <w:p>
      <w:pPr>
        <w:pStyle w:val="Heading2"/>
        <w:spacing w:line="276" w:lineRule="auto"/>
      </w:pPr>
      <w:r>
        <w:rPr>
          <w:rFonts w:ascii="Tahoma" w:hAnsi="Tahoma" w:cs="Tahoma" w:eastAsia="Tahoma"/>
          <w:sz w:val="24"/>
        </w:rPr>
        <w:t>Decisión que debe defender el equipo</w:t>
      </w:r>
    </w:p>
    <w:p>
      <w:pPr>
        <w:spacing w:line="276" w:lineRule="auto"/>
        <w:jc w:val="both"/>
      </w:pPr>
      <w:r>
        <w:rPr>
          <w:rFonts w:ascii="Tahoma" w:hAnsi="Tahoma" w:cs="Tahoma" w:eastAsia="Tahoma"/>
          <w:b w:val="0"/>
          <w:sz w:val="24"/>
        </w:rPr>
        <w:t>¿A qué compradores recurrentes contactar, qué productos reponer y cuánto presupuesto comprometer durante noviembre de 2026, bajo restricciones de inventario y despacho?</w:t>
      </w:r>
    </w:p>
    <w:p>
      <w:pPr>
        <w:pStyle w:val="Heading2"/>
        <w:spacing w:line="276" w:lineRule="auto"/>
      </w:pPr>
      <w:r>
        <w:rPr>
          <w:rFonts w:ascii="Tahoma" w:hAnsi="Tahoma" w:cs="Tahoma" w:eastAsia="Tahoma"/>
          <w:sz w:val="24"/>
        </w:rPr>
        <w:t>Población y definición de abandono</w:t>
      </w:r>
    </w:p>
    <w:p>
      <w:pPr>
        <w:spacing w:line="276" w:lineRule="auto"/>
        <w:jc w:val="both"/>
      </w:pPr>
      <w:r>
        <w:rPr>
          <w:rFonts w:ascii="Tahoma" w:hAnsi="Tahoma" w:cs="Tahoma" w:eastAsia="Tahoma"/>
          <w:b w:val="0"/>
          <w:sz w:val="24"/>
        </w:rPr>
        <w:t>Compradores con al menos dos pedidos entregados en los 180 días previos al corte. La etiqueta será ausencia de un pedido entregado en los 60 días siguientes. Esta definición identifica inactividad de compradores recurrentes, no cancelación contractual.</w:t>
      </w:r>
    </w:p>
    <w:p>
      <w:pPr>
        <w:pStyle w:val="Heading2"/>
        <w:spacing w:line="276" w:lineRule="auto"/>
      </w:pPr>
      <w:r>
        <w:rPr>
          <w:rFonts w:ascii="Tahoma" w:hAnsi="Tahoma" w:cs="Tahoma" w:eastAsia="Tahoma"/>
          <w:sz w:val="24"/>
        </w:rPr>
        <w:t>Demanda que debe pronosticarse</w:t>
      </w:r>
    </w:p>
    <w:p>
      <w:pPr>
        <w:spacing w:line="276" w:lineRule="auto"/>
        <w:jc w:val="both"/>
      </w:pPr>
      <w:r>
        <w:rPr>
          <w:rFonts w:ascii="Tahoma" w:hAnsi="Tahoma" w:cs="Tahoma" w:eastAsia="Tahoma"/>
          <w:b w:val="0"/>
          <w:sz w:val="24"/>
        </w:rPr>
        <w:t>Unidades solicitadas por semana y familia de producto, para cuatro semanas. Separar pedidos solicitados de entregas y registrar faltantes para no interpretar ventas censuradas por stock como demanda completa.</w:t>
      </w:r>
    </w:p>
    <w:p>
      <w:pPr>
        <w:pStyle w:val="Heading2"/>
        <w:spacing w:line="276" w:lineRule="auto"/>
      </w:pPr>
      <w:r>
        <w:rPr>
          <w:rFonts w:ascii="Tahoma" w:hAnsi="Tahoma" w:cs="Tahoma" w:eastAsia="Tahoma"/>
          <w:sz w:val="24"/>
        </w:rPr>
        <w:t>Presupuesto y reglas del escenario</w:t>
      </w:r>
    </w:p>
    <w:tbl>
      <w:tblPr>
        <w:tblW w:type="auto" w:w="0"/>
        <w:tblLayout w:type="fixed"/>
        <w:tblLook w:firstColumn="1" w:firstRow="1" w:lastColumn="0" w:lastRow="0" w:noHBand="0" w:noVBand="1" w:val="04A0"/>
      </w:tblPr>
      <w:tblGrid>
        <w:gridCol w:w="1928"/>
        <w:gridCol w:w="8050"/>
      </w:tblGrid>
      <w:tr>
        <w:trPr>
          <w:tblHeader/>
          <w:cantSplit/>
        </w:trPr>
        <w:tc>
          <w:tcPr>
            <w:tcW w:type="dxa" w:w="1928"/>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Elemento</w:t>
            </w:r>
          </w:p>
        </w:tc>
        <w:tc>
          <w:tcPr>
            <w:tcW w:type="dxa" w:w="8050"/>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Condición del caso</w:t>
            </w:r>
          </w:p>
        </w:tc>
      </w:tr>
      <w:tr>
        <w:trPr>
          <w:cantSplit/>
        </w:trPr>
        <w:tc>
          <w:tcPr>
            <w:tcW w:type="dxa" w:w="19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Campaña</w:t>
            </w:r>
          </w:p>
        </w:tc>
        <w:tc>
          <w:tcPr>
            <w:tcW w:type="dxa" w:w="805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Presupuesto máximo S/ 9 000; WhatsApp S/ 1,50 por contacto; llamada S/ 8; máximo 1 200 contactos y 180 llamadas.</w:t>
            </w:r>
          </w:p>
        </w:tc>
      </w:tr>
      <w:tr>
        <w:trPr>
          <w:cantSplit/>
        </w:trPr>
        <w:tc>
          <w:tcPr>
            <w:tcW w:type="dxa" w:w="192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Reposición</w:t>
            </w:r>
          </w:p>
        </w:tc>
        <w:tc>
          <w:tcPr>
            <w:tcW w:type="dxa" w:w="8050"/>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Máximo S/ 48 000 de compra; 800 unidades de almacenamiento; 900 despachos en cuatro semanas. Cada familia aporta coste, margen y espacio unitario.</w:t>
            </w:r>
          </w:p>
        </w:tc>
      </w:tr>
      <w:tr>
        <w:trPr>
          <w:cantSplit/>
        </w:trPr>
        <w:tc>
          <w:tcPr>
            <w:tcW w:type="dxa" w:w="19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Escenario actual</w:t>
            </w:r>
          </w:p>
        </w:tc>
        <w:tc>
          <w:tcPr>
            <w:tcW w:type="dxa" w:w="805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Contactar los primeros 600 compradores elegibles por ID mediante WhatsApp. Reponer por familia la demanda de las últimas cuatro semanas menos el stock disponible, acotando a cero y ajustando a presupuesto y capacidad.</w:t>
            </w:r>
          </w:p>
        </w:tc>
      </w:tr>
      <w:tr>
        <w:trPr>
          <w:cantSplit/>
        </w:trPr>
        <w:tc>
          <w:tcPr>
            <w:tcW w:type="dxa" w:w="192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Sensibilidad</w:t>
            </w:r>
          </w:p>
        </w:tc>
        <w:tc>
          <w:tcPr>
            <w:tcW w:type="dxa" w:w="8050"/>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Probabilidad incremental supuesta de evitar inactividad: 0, 0,05 y 0,10. No se presenta como resultado causal del modelo de churn.</w:t>
            </w:r>
          </w:p>
        </w:tc>
      </w:tr>
    </w:tbl>
    <w:p>
      <w:pPr>
        <w:spacing w:after="20" w:line="276" w:lineRule="auto"/>
        <w:jc w:val="both"/>
      </w:pPr>
    </w:p>
    <w:p>
      <w:pPr>
        <w:spacing w:line="276" w:lineRule="auto"/>
        <w:jc w:val="both"/>
      </w:pPr>
      <w:r>
        <w:rPr>
          <w:rFonts w:ascii="Tahoma" w:hAnsi="Tahoma" w:cs="Tahoma" w:eastAsia="Tahoma"/>
          <w:b w:val="0"/>
          <w:sz w:val="24"/>
        </w:rPr>
        <w:t>Los importes, capacidades y efectos anteriores son supuestos del enunciado, editables en la sensibilidad. Los datos del caso son compatibles con estas restricciones y permiten construir al menos una solución factible; si el equipo encuentra un conflicto, lo registra antes de resolver.</w:t>
      </w:r>
    </w:p>
    <w:p>
      <w:pPr>
        <w:spacing w:line="276" w:lineRule="auto"/>
        <w:jc w:val="both"/>
      </w:pPr>
      <w:r>
        <w:rPr>
          <w:rFonts w:ascii="Tahoma" w:hAnsi="Tahoma" w:cs="Tahoma" w:eastAsia="Tahoma"/>
          <w:sz w:val="24"/>
        </w:rPr>
        <w:br w:type="page"/>
      </w:r>
    </w:p>
    <w:p>
      <w:pPr>
        <w:pStyle w:val="Heading1"/>
        <w:spacing w:line="276" w:lineRule="auto"/>
      </w:pPr>
      <w:r>
        <w:rPr>
          <w:rFonts w:ascii="Tahoma" w:hAnsi="Tahoma" w:cs="Tahoma" w:eastAsia="Tahoma"/>
          <w:sz w:val="24"/>
        </w:rPr>
        <w:t>Desarrollo del caso AndeHogar</w:t>
      </w:r>
    </w:p>
    <w:p>
      <w:pPr>
        <w:pStyle w:val="Heading2"/>
        <w:spacing w:line="276" w:lineRule="auto"/>
      </w:pPr>
      <w:r>
        <w:rPr>
          <w:rFonts w:ascii="Tahoma" w:hAnsi="Tahoma" w:cs="Tahoma" w:eastAsia="Tahoma"/>
          <w:sz w:val="24"/>
        </w:rPr>
        <w:t>Modelo prescriptivo</w:t>
      </w:r>
    </w:p>
    <w:p>
      <w:pPr>
        <w:spacing w:line="276" w:lineRule="auto"/>
        <w:jc w:val="both"/>
      </w:pPr>
      <w:r>
        <w:rPr>
          <w:rFonts w:ascii="Tahoma" w:hAnsi="Tahoma" w:cs="Tahoma" w:eastAsia="Tahoma"/>
          <w:b w:val="0"/>
          <w:sz w:val="24"/>
        </w:rPr>
        <w:t>Elegir contactos por canal y unidades enteras de reposición por familia. Maximizar margen esperado neto, combinando el margen de ventas atendidas y el beneficio incremental supuesto de retención, sin contabilizar dos veces las ventas de los contactados.</w:t>
      </w:r>
    </w:p>
    <w:p>
      <w:pPr>
        <w:pStyle w:val="Heading2"/>
        <w:spacing w:line="276" w:lineRule="auto"/>
      </w:pPr>
      <w:r>
        <w:rPr>
          <w:rFonts w:ascii="Tahoma" w:hAnsi="Tahoma" w:cs="Tahoma" w:eastAsia="Tahoma"/>
          <w:sz w:val="24"/>
        </w:rPr>
        <w:t>Anomalías y control</w:t>
      </w:r>
    </w:p>
    <w:p>
      <w:pPr>
        <w:spacing w:line="276" w:lineRule="auto"/>
        <w:jc w:val="both"/>
      </w:pPr>
      <w:r>
        <w:rPr>
          <w:rFonts w:ascii="Tahoma" w:hAnsi="Tahoma" w:cs="Tahoma" w:eastAsia="Tahoma"/>
          <w:b w:val="0"/>
          <w:sz w:val="24"/>
        </w:rPr>
        <w:t>Detectar importes de reembolso y tiempos de preparación atípicos. Construir una carta de control semanal del tiempo de preparación con línea base estable y comparar locales antes de emitir alertas.</w:t>
      </w:r>
    </w:p>
    <w:p>
      <w:pPr>
        <w:pStyle w:val="Heading2"/>
        <w:spacing w:line="276" w:lineRule="auto"/>
      </w:pPr>
      <w:r>
        <w:rPr>
          <w:rFonts w:ascii="Tahoma" w:hAnsi="Tahoma" w:cs="Tahoma" w:eastAsia="Tahoma"/>
          <w:sz w:val="24"/>
        </w:rPr>
        <w:t>Auditoría y documentación</w:t>
      </w:r>
    </w:p>
    <w:p>
      <w:pPr>
        <w:spacing w:line="276" w:lineRule="auto"/>
        <w:jc w:val="both"/>
      </w:pPr>
      <w:r>
        <w:rPr>
          <w:rFonts w:ascii="Tahoma" w:hAnsi="Tahoma" w:cs="Tahoma" w:eastAsia="Tahoma"/>
          <w:b w:val="0"/>
          <w:sz w:val="24"/>
        </w:rPr>
        <w:t>Auditar errores y selección por ciudad y canal de registro, sin usar identificadores personales como predictores.</w:t>
      </w:r>
    </w:p>
    <w:p>
      <w:pPr>
        <w:spacing w:line="276" w:lineRule="auto"/>
        <w:jc w:val="both"/>
      </w:pPr>
      <w:r>
        <w:rPr>
          <w:rFonts w:ascii="Tahoma" w:hAnsi="Tahoma" w:cs="Tahoma" w:eastAsia="Tahoma"/>
          <w:b w:val="0"/>
          <w:sz w:val="24"/>
        </w:rPr>
        <w:t>Documentos para el asistente: Política de devoluciones, niveles de servicio y reglas de autorización de descuentos.</w:t>
      </w:r>
    </w:p>
    <w:p>
      <w:pPr>
        <w:pStyle w:val="Heading2"/>
        <w:spacing w:line="276" w:lineRule="auto"/>
      </w:pPr>
      <w:r>
        <w:rPr>
          <w:rFonts w:ascii="Tahoma" w:hAnsi="Tahoma" w:cs="Tahoma" w:eastAsia="Tahoma"/>
          <w:sz w:val="24"/>
        </w:rPr>
        <w:t>Producto y recomendación</w:t>
      </w:r>
    </w:p>
    <w:p>
      <w:pPr>
        <w:spacing w:line="276" w:lineRule="auto"/>
        <w:jc w:val="both"/>
      </w:pPr>
      <w:r>
        <w:rPr>
          <w:rFonts w:ascii="Tahoma" w:hAnsi="Tahoma" w:cs="Tahoma" w:eastAsia="Tahoma"/>
          <w:b w:val="0"/>
          <w:sz w:val="24"/>
        </w:rPr>
        <w:t>Tablero para seleccionar presupuesto y umbral, revisar demanda por familia, observar la asignación factible y consultar alertas de reembolso o preparación.</w:t>
      </w:r>
    </w:p>
    <w:p>
      <w:pPr>
        <w:pStyle w:val="Heading2"/>
        <w:spacing w:line="276" w:lineRule="auto"/>
      </w:pPr>
      <w:r>
        <w:rPr>
          <w:rFonts w:ascii="Tahoma" w:hAnsi="Tahoma" w:cs="Tahoma" w:eastAsia="Tahoma"/>
          <w:sz w:val="24"/>
        </w:rPr>
        <w:t>Preguntas para la sustentación</w:t>
      </w:r>
    </w:p>
    <w:p>
      <w:pPr>
        <w:pStyle w:val="ListBullet"/>
        <w:spacing w:after="80" w:line="276" w:lineRule="auto"/>
        <w:jc w:val="both"/>
      </w:pPr>
      <w:r>
        <w:rPr>
          <w:rFonts w:ascii="Tahoma" w:hAnsi="Tahoma" w:cs="Tahoma" w:eastAsia="Tahoma"/>
          <w:sz w:val="24"/>
        </w:rPr>
        <w:t>¿Cuántos clientes pueden contactarse dentro del presupuesto y cuántos serían falsos positivos?</w:t>
      </w:r>
    </w:p>
    <w:p>
      <w:pPr>
        <w:pStyle w:val="ListBullet"/>
        <w:spacing w:after="80" w:line="276" w:lineRule="auto"/>
        <w:jc w:val="both"/>
      </w:pPr>
      <w:r>
        <w:rPr>
          <w:rFonts w:ascii="Tahoma" w:hAnsi="Tahoma" w:cs="Tahoma" w:eastAsia="Tahoma"/>
          <w:sz w:val="24"/>
        </w:rPr>
        <w:t>¿La optimización mejora el margen después de considerar descuento, devolución, compra y capacidad?</w:t>
      </w:r>
    </w:p>
    <w:p>
      <w:pPr>
        <w:pStyle w:val="ListBullet"/>
        <w:spacing w:after="80" w:line="276" w:lineRule="auto"/>
        <w:jc w:val="both"/>
      </w:pPr>
      <w:r>
        <w:rPr>
          <w:rFonts w:ascii="Tahoma" w:hAnsi="Tahoma" w:cs="Tahoma" w:eastAsia="Tahoma"/>
          <w:sz w:val="24"/>
        </w:rPr>
        <w:t>¿Qué producto o local requiere una revisión antes de activar la campaña?</w:t>
      </w:r>
    </w:p>
    <w:p>
      <w:pPr>
        <w:spacing w:after="20" w:line="276" w:lineRule="auto"/>
        <w:jc w:val="both"/>
      </w:pPr>
    </w:p>
    <w:p>
      <w:pPr>
        <w:spacing w:line="276" w:lineRule="auto"/>
        <w:jc w:val="both"/>
      </w:pPr>
      <w:r>
        <w:rPr>
          <w:rFonts w:ascii="Tahoma" w:hAnsi="Tahoma" w:cs="Tahoma" w:eastAsia="Tahoma"/>
          <w:sz w:val="24"/>
        </w:rPr>
        <w:br w:type="page"/>
      </w:r>
    </w:p>
    <w:p>
      <w:pPr>
        <w:pStyle w:val="Heading1"/>
        <w:spacing w:line="276" w:lineRule="auto"/>
      </w:pPr>
      <w:r>
        <w:rPr>
          <w:rFonts w:ascii="Tahoma" w:hAnsi="Tahoma" w:cs="Tahoma" w:eastAsia="Tahoma"/>
          <w:sz w:val="24"/>
        </w:rPr>
        <w:t>Grupo 2 Café de Origen</w:t>
      </w:r>
    </w:p>
    <w:p>
      <w:pPr>
        <w:spacing w:line="276" w:lineRule="auto"/>
        <w:jc w:val="both"/>
      </w:pPr>
      <w:r>
        <w:rPr>
          <w:rFonts w:ascii="Tahoma" w:hAnsi="Tahoma" w:cs="Tahoma" w:eastAsia="Tahoma"/>
          <w:b/>
          <w:sz w:val="24"/>
        </w:rPr>
        <w:t>Suscripciones de café y venta directa</w:t>
      </w:r>
    </w:p>
    <w:p>
      <w:pPr>
        <w:pStyle w:val="Heading2"/>
        <w:spacing w:line="276" w:lineRule="auto"/>
      </w:pPr>
      <w:r>
        <w:rPr>
          <w:rFonts w:ascii="Tahoma" w:hAnsi="Tahoma" w:cs="Tahoma" w:eastAsia="Tahoma"/>
          <w:sz w:val="24"/>
        </w:rPr>
        <w:t>Situación empresarial</w:t>
      </w:r>
    </w:p>
    <w:p>
      <w:pPr>
        <w:spacing w:line="276" w:lineRule="auto"/>
        <w:jc w:val="both"/>
      </w:pPr>
      <w:r>
        <w:rPr>
          <w:rFonts w:ascii="Tahoma" w:hAnsi="Tahoma" w:cs="Tahoma" w:eastAsia="Tahoma"/>
          <w:b w:val="0"/>
          <w:sz w:val="24"/>
        </w:rPr>
        <w:t>Café de Origen despacha bolsas de café de 250 g mediante suscripciones mensuales y compras adicionales. La tostadora combina dos líneas y capacidad limitada de empaque. El equipo comercial quiere retener suscriptores con llamadas y una mejora temporal de plan; Producción necesita evitar excedentes que pierdan frescura.</w:t>
      </w:r>
    </w:p>
    <w:p>
      <w:pPr>
        <w:pStyle w:val="Heading2"/>
        <w:spacing w:line="276" w:lineRule="auto"/>
      </w:pPr>
      <w:r>
        <w:rPr>
          <w:rFonts w:ascii="Tahoma" w:hAnsi="Tahoma" w:cs="Tahoma" w:eastAsia="Tahoma"/>
          <w:sz w:val="24"/>
        </w:rPr>
        <w:t>Decisión que debe defender el equipo</w:t>
      </w:r>
    </w:p>
    <w:p>
      <w:pPr>
        <w:spacing w:line="276" w:lineRule="auto"/>
        <w:jc w:val="both"/>
      </w:pPr>
      <w:r>
        <w:rPr>
          <w:rFonts w:ascii="Tahoma" w:hAnsi="Tahoma" w:cs="Tahoma" w:eastAsia="Tahoma"/>
          <w:b w:val="0"/>
          <w:sz w:val="24"/>
        </w:rPr>
        <w:t>¿Qué suscriptores atender y qué mezcla de producción y empaque preparar para noviembre de 2026, sin superar horas disponibles ni sacrificar frescura y margen?</w:t>
      </w:r>
    </w:p>
    <w:p>
      <w:pPr>
        <w:pStyle w:val="Heading2"/>
        <w:spacing w:line="276" w:lineRule="auto"/>
      </w:pPr>
      <w:r>
        <w:rPr>
          <w:rFonts w:ascii="Tahoma" w:hAnsi="Tahoma" w:cs="Tahoma" w:eastAsia="Tahoma"/>
          <w:sz w:val="24"/>
        </w:rPr>
        <w:t>Población y definición de abandono</w:t>
      </w:r>
    </w:p>
    <w:p>
      <w:pPr>
        <w:spacing w:line="276" w:lineRule="auto"/>
        <w:jc w:val="both"/>
      </w:pPr>
      <w:r>
        <w:rPr>
          <w:rFonts w:ascii="Tahoma" w:hAnsi="Tahoma" w:cs="Tahoma" w:eastAsia="Tahoma"/>
          <w:b w:val="0"/>
          <w:sz w:val="24"/>
        </w:rPr>
        <w:t>Suscriptores activos al corte con al menos 60 días de antigüedad. Churn es una cancelación efectiva dentro de los 30 días siguientes. Las pausas solicitadas se distinguen de cancelaciones y se documenta su tratamiento.</w:t>
      </w:r>
    </w:p>
    <w:p>
      <w:pPr>
        <w:pStyle w:val="Heading2"/>
        <w:spacing w:line="276" w:lineRule="auto"/>
      </w:pPr>
      <w:r>
        <w:rPr>
          <w:rFonts w:ascii="Tahoma" w:hAnsi="Tahoma" w:cs="Tahoma" w:eastAsia="Tahoma"/>
          <w:sz w:val="24"/>
        </w:rPr>
        <w:t>Demanda que debe pronosticarse</w:t>
      </w:r>
    </w:p>
    <w:p>
      <w:pPr>
        <w:spacing w:line="276" w:lineRule="auto"/>
        <w:jc w:val="both"/>
      </w:pPr>
      <w:r>
        <w:rPr>
          <w:rFonts w:ascii="Tahoma" w:hAnsi="Tahoma" w:cs="Tahoma" w:eastAsia="Tahoma"/>
          <w:b w:val="0"/>
          <w:sz w:val="24"/>
        </w:rPr>
        <w:t>Bolsas de 250 g solicitadas por semana y línea de café durante cuatro semanas. Separar demanda de suscripciones confirmadas y pedidos adicionales; no sumar nuevamente las mismas bolsas.</w:t>
      </w:r>
    </w:p>
    <w:p>
      <w:pPr>
        <w:pStyle w:val="Heading2"/>
        <w:spacing w:line="276" w:lineRule="auto"/>
      </w:pPr>
      <w:r>
        <w:rPr>
          <w:rFonts w:ascii="Tahoma" w:hAnsi="Tahoma" w:cs="Tahoma" w:eastAsia="Tahoma"/>
          <w:sz w:val="24"/>
        </w:rPr>
        <w:t>Presupuesto y reglas del escenario</w:t>
      </w:r>
    </w:p>
    <w:tbl>
      <w:tblPr>
        <w:tblW w:type="auto" w:w="0"/>
        <w:tblLayout w:type="fixed"/>
        <w:tblLook w:firstColumn="1" w:firstRow="1" w:lastColumn="0" w:lastRow="0" w:noHBand="0" w:noVBand="1" w:val="04A0"/>
      </w:tblPr>
      <w:tblGrid>
        <w:gridCol w:w="1928"/>
        <w:gridCol w:w="8050"/>
      </w:tblGrid>
      <w:tr>
        <w:trPr>
          <w:tblHeader/>
          <w:cantSplit/>
        </w:trPr>
        <w:tc>
          <w:tcPr>
            <w:tcW w:type="dxa" w:w="1928"/>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Elemento</w:t>
            </w:r>
          </w:p>
        </w:tc>
        <w:tc>
          <w:tcPr>
            <w:tcW w:type="dxa" w:w="8050"/>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Condición del caso</w:t>
            </w:r>
          </w:p>
        </w:tc>
      </w:tr>
      <w:tr>
        <w:trPr>
          <w:cantSplit/>
        </w:trPr>
        <w:tc>
          <w:tcPr>
            <w:tcW w:type="dxa" w:w="19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Retención</w:t>
            </w:r>
          </w:p>
        </w:tc>
        <w:tc>
          <w:tcPr>
            <w:tcW w:type="dxa" w:w="805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Máximo S/ 5 000; llamada S/ 7; máximo 350 llamadas. Mejora de plan con coste adicional S/ 6 solo cuando se utiliza; declarar el supuesto de utilización.</w:t>
            </w:r>
          </w:p>
        </w:tc>
      </w:tr>
      <w:tr>
        <w:trPr>
          <w:cantSplit/>
        </w:trPr>
        <w:tc>
          <w:tcPr>
            <w:tcW w:type="dxa" w:w="192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Producción</w:t>
            </w:r>
          </w:p>
        </w:tc>
        <w:tc>
          <w:tcPr>
            <w:tcW w:type="dxa" w:w="8050"/>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Máximo 780 kg de café verde; rendimiento de tostado supuesto 0,84 y merma por línea indicada en la tabla de recursos; 2 800 bolsas de empaque; 140 horas de tostado y S/ 19 000 de coste variable.</w:t>
            </w:r>
          </w:p>
        </w:tc>
      </w:tr>
      <w:tr>
        <w:trPr>
          <w:cantSplit/>
        </w:trPr>
        <w:tc>
          <w:tcPr>
            <w:tcW w:type="dxa" w:w="19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Escenario actual</w:t>
            </w:r>
          </w:p>
        </w:tc>
        <w:tc>
          <w:tcPr>
            <w:tcW w:type="dxa" w:w="805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Contactar los 300 suscriptores elegibles de mayor antigüedad. Producir por línea el volumen de las últimas cuatro semanas, ajustándolo a capacidad y materiales; registrar cualquier incumplimiento.</w:t>
            </w:r>
          </w:p>
        </w:tc>
      </w:tr>
      <w:tr>
        <w:trPr>
          <w:cantSplit/>
        </w:trPr>
        <w:tc>
          <w:tcPr>
            <w:tcW w:type="dxa" w:w="192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Sensibilidad</w:t>
            </w:r>
          </w:p>
        </w:tc>
        <w:tc>
          <w:tcPr>
            <w:tcW w:type="dxa" w:w="8050"/>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Mejora incremental supuesta en retención: 0, 0,04 y 0,08; coste de materia prima: escenario base y aumento del 15 %.</w:t>
            </w:r>
          </w:p>
        </w:tc>
      </w:tr>
    </w:tbl>
    <w:p>
      <w:pPr>
        <w:spacing w:after="20" w:line="276" w:lineRule="auto"/>
        <w:jc w:val="both"/>
      </w:pPr>
    </w:p>
    <w:p>
      <w:pPr>
        <w:spacing w:line="276" w:lineRule="auto"/>
        <w:jc w:val="both"/>
      </w:pPr>
      <w:r>
        <w:rPr>
          <w:rFonts w:ascii="Tahoma" w:hAnsi="Tahoma" w:cs="Tahoma" w:eastAsia="Tahoma"/>
          <w:b w:val="0"/>
          <w:sz w:val="24"/>
        </w:rPr>
        <w:t>Los importes, capacidades y efectos anteriores son supuestos del enunciado, editables en la sensibilidad. Los datos del caso son compatibles con estas restricciones y permiten construir al menos una solución factible; si el equipo encuentra un conflicto, lo registra antes de resolver.</w:t>
      </w:r>
    </w:p>
    <w:p>
      <w:pPr>
        <w:spacing w:line="276" w:lineRule="auto"/>
        <w:jc w:val="both"/>
      </w:pPr>
      <w:r>
        <w:rPr>
          <w:rFonts w:ascii="Tahoma" w:hAnsi="Tahoma" w:cs="Tahoma" w:eastAsia="Tahoma"/>
          <w:sz w:val="24"/>
        </w:rPr>
        <w:br w:type="page"/>
      </w:r>
    </w:p>
    <w:p>
      <w:pPr>
        <w:pStyle w:val="Heading1"/>
        <w:spacing w:line="276" w:lineRule="auto"/>
      </w:pPr>
      <w:r>
        <w:rPr>
          <w:rFonts w:ascii="Tahoma" w:hAnsi="Tahoma" w:cs="Tahoma" w:eastAsia="Tahoma"/>
          <w:sz w:val="24"/>
        </w:rPr>
        <w:t>Desarrollo del caso Café de Origen</w:t>
      </w:r>
    </w:p>
    <w:p>
      <w:pPr>
        <w:pStyle w:val="Heading2"/>
        <w:spacing w:line="276" w:lineRule="auto"/>
      </w:pPr>
      <w:r>
        <w:rPr>
          <w:rFonts w:ascii="Tahoma" w:hAnsi="Tahoma" w:cs="Tahoma" w:eastAsia="Tahoma"/>
          <w:sz w:val="24"/>
        </w:rPr>
        <w:t>Modelo prescriptivo</w:t>
      </w:r>
    </w:p>
    <w:p>
      <w:pPr>
        <w:spacing w:line="276" w:lineRule="auto"/>
        <w:jc w:val="both"/>
      </w:pPr>
      <w:r>
        <w:rPr>
          <w:rFonts w:ascii="Tahoma" w:hAnsi="Tahoma" w:cs="Tahoma" w:eastAsia="Tahoma"/>
          <w:b w:val="0"/>
          <w:sz w:val="24"/>
        </w:rPr>
        <w:t>Asignar llamadas a suscriptores elegibles y bolsas enteras a producir por línea. Maximizar contribución esperada neta bajo restricciones de materia prima, tostado y empaque, incorporando merma y costes de intervención.</w:t>
      </w:r>
    </w:p>
    <w:p>
      <w:pPr>
        <w:pStyle w:val="Heading2"/>
        <w:spacing w:line="276" w:lineRule="auto"/>
      </w:pPr>
      <w:r>
        <w:rPr>
          <w:rFonts w:ascii="Tahoma" w:hAnsi="Tahoma" w:cs="Tahoma" w:eastAsia="Tahoma"/>
          <w:sz w:val="24"/>
        </w:rPr>
        <w:t>Anomalías y control</w:t>
      </w:r>
    </w:p>
    <w:p>
      <w:pPr>
        <w:spacing w:line="276" w:lineRule="auto"/>
        <w:jc w:val="both"/>
      </w:pPr>
      <w:r>
        <w:rPr>
          <w:rFonts w:ascii="Tahoma" w:hAnsi="Tahoma" w:cs="Tahoma" w:eastAsia="Tahoma"/>
          <w:b w:val="0"/>
          <w:sz w:val="24"/>
        </w:rPr>
        <w:t>Detectar cobros repetidos y desviaciones de peso. Elaborar una carta de control de la media de peso de muestras de bolsas por lote con tamaño de muestra constante; los límites de control no son especificaciones de tolerancia.</w:t>
      </w:r>
    </w:p>
    <w:p>
      <w:pPr>
        <w:pStyle w:val="Heading2"/>
        <w:spacing w:line="276" w:lineRule="auto"/>
      </w:pPr>
      <w:r>
        <w:rPr>
          <w:rFonts w:ascii="Tahoma" w:hAnsi="Tahoma" w:cs="Tahoma" w:eastAsia="Tahoma"/>
          <w:sz w:val="24"/>
        </w:rPr>
        <w:t>Auditoría y documentación</w:t>
      </w:r>
    </w:p>
    <w:p>
      <w:pPr>
        <w:spacing w:line="276" w:lineRule="auto"/>
        <w:jc w:val="both"/>
      </w:pPr>
      <w:r>
        <w:rPr>
          <w:rFonts w:ascii="Tahoma" w:hAnsi="Tahoma" w:cs="Tahoma" w:eastAsia="Tahoma"/>
          <w:b w:val="0"/>
          <w:sz w:val="24"/>
        </w:rPr>
        <w:t>Auditar falsos positivos y falsos negativos por canal de suscripción y zona de despacho; revisar tamaños de muestra antes de comparar tasas.</w:t>
      </w:r>
    </w:p>
    <w:p>
      <w:pPr>
        <w:spacing w:line="276" w:lineRule="auto"/>
        <w:jc w:val="both"/>
      </w:pPr>
      <w:r>
        <w:rPr>
          <w:rFonts w:ascii="Tahoma" w:hAnsi="Tahoma" w:cs="Tahoma" w:eastAsia="Tahoma"/>
          <w:b w:val="0"/>
          <w:sz w:val="24"/>
        </w:rPr>
        <w:t>Documentos para el asistente: Condiciones de suscripción, política de pausas y cancelaciones y especificaciones internas de empaque.</w:t>
      </w:r>
    </w:p>
    <w:p>
      <w:pPr>
        <w:pStyle w:val="Heading2"/>
        <w:spacing w:line="276" w:lineRule="auto"/>
      </w:pPr>
      <w:r>
        <w:rPr>
          <w:rFonts w:ascii="Tahoma" w:hAnsi="Tahoma" w:cs="Tahoma" w:eastAsia="Tahoma"/>
          <w:sz w:val="24"/>
        </w:rPr>
        <w:t>Producto y recomendación</w:t>
      </w:r>
    </w:p>
    <w:p>
      <w:pPr>
        <w:spacing w:line="276" w:lineRule="auto"/>
        <w:jc w:val="both"/>
      </w:pPr>
      <w:r>
        <w:rPr>
          <w:rFonts w:ascii="Tahoma" w:hAnsi="Tahoma" w:cs="Tahoma" w:eastAsia="Tahoma"/>
          <w:b w:val="0"/>
          <w:sz w:val="24"/>
        </w:rPr>
        <w:t>Panel de riesgo de cancelación, demanda en bolsas, plan de tostado y empaque, alertas de peso y asistente sobre las condiciones del servicio.</w:t>
      </w:r>
    </w:p>
    <w:p>
      <w:pPr>
        <w:pStyle w:val="Heading2"/>
        <w:spacing w:line="276" w:lineRule="auto"/>
      </w:pPr>
      <w:r>
        <w:rPr>
          <w:rFonts w:ascii="Tahoma" w:hAnsi="Tahoma" w:cs="Tahoma" w:eastAsia="Tahoma"/>
          <w:sz w:val="24"/>
        </w:rPr>
        <w:t>Preguntas para la sustentación</w:t>
      </w:r>
    </w:p>
    <w:p>
      <w:pPr>
        <w:pStyle w:val="ListBullet"/>
        <w:spacing w:after="80" w:line="276" w:lineRule="auto"/>
        <w:jc w:val="both"/>
      </w:pPr>
      <w:r>
        <w:rPr>
          <w:rFonts w:ascii="Tahoma" w:hAnsi="Tahoma" w:cs="Tahoma" w:eastAsia="Tahoma"/>
          <w:sz w:val="24"/>
        </w:rPr>
        <w:t>¿Qué ocurre con el beneficio si la campaña no evita ninguna cancelación?</w:t>
      </w:r>
    </w:p>
    <w:p>
      <w:pPr>
        <w:pStyle w:val="ListBullet"/>
        <w:spacing w:after="80" w:line="276" w:lineRule="auto"/>
        <w:jc w:val="both"/>
      </w:pPr>
      <w:r>
        <w:rPr>
          <w:rFonts w:ascii="Tahoma" w:hAnsi="Tahoma" w:cs="Tahoma" w:eastAsia="Tahoma"/>
          <w:sz w:val="24"/>
        </w:rPr>
        <w:t>¿Qué restricción limita la producción y cómo cambia el plan al subir el coste de materia prima?</w:t>
      </w:r>
    </w:p>
    <w:p>
      <w:pPr>
        <w:pStyle w:val="ListBullet"/>
        <w:spacing w:after="80" w:line="276" w:lineRule="auto"/>
        <w:jc w:val="both"/>
      </w:pPr>
      <w:r>
        <w:rPr>
          <w:rFonts w:ascii="Tahoma" w:hAnsi="Tahoma" w:cs="Tahoma" w:eastAsia="Tahoma"/>
          <w:sz w:val="24"/>
        </w:rPr>
        <w:t>¿Una bolsa fuera de especificación implica necesariamente un proceso fuera de control?</w:t>
      </w:r>
    </w:p>
    <w:p>
      <w:pPr>
        <w:spacing w:after="20" w:line="276" w:lineRule="auto"/>
        <w:jc w:val="both"/>
      </w:pPr>
    </w:p>
    <w:p>
      <w:pPr>
        <w:spacing w:line="276" w:lineRule="auto"/>
        <w:jc w:val="both"/>
      </w:pPr>
      <w:r>
        <w:rPr>
          <w:rFonts w:ascii="Tahoma" w:hAnsi="Tahoma" w:cs="Tahoma" w:eastAsia="Tahoma"/>
          <w:sz w:val="24"/>
        </w:rPr>
        <w:br w:type="page"/>
      </w:r>
    </w:p>
    <w:p>
      <w:pPr>
        <w:pStyle w:val="Heading1"/>
        <w:spacing w:line="276" w:lineRule="auto"/>
      </w:pPr>
      <w:r>
        <w:rPr>
          <w:rFonts w:ascii="Tahoma" w:hAnsi="Tahoma" w:cs="Tahoma" w:eastAsia="Tahoma"/>
          <w:sz w:val="24"/>
        </w:rPr>
        <w:t>Grupo 3 VitalFit</w:t>
      </w:r>
    </w:p>
    <w:p>
      <w:pPr>
        <w:spacing w:line="276" w:lineRule="auto"/>
        <w:jc w:val="both"/>
      </w:pPr>
      <w:r>
        <w:rPr>
          <w:rFonts w:ascii="Tahoma" w:hAnsi="Tahoma" w:cs="Tahoma" w:eastAsia="Tahoma"/>
          <w:b/>
          <w:sz w:val="24"/>
        </w:rPr>
        <w:t>Membresías y clases de gimnasio</w:t>
      </w:r>
    </w:p>
    <w:p>
      <w:pPr>
        <w:pStyle w:val="Heading2"/>
        <w:spacing w:line="276" w:lineRule="auto"/>
      </w:pPr>
      <w:r>
        <w:rPr>
          <w:rFonts w:ascii="Tahoma" w:hAnsi="Tahoma" w:cs="Tahoma" w:eastAsia="Tahoma"/>
          <w:sz w:val="24"/>
        </w:rPr>
        <w:t>Situación empresarial</w:t>
      </w:r>
    </w:p>
    <w:p>
      <w:pPr>
        <w:spacing w:line="276" w:lineRule="auto"/>
        <w:jc w:val="both"/>
      </w:pPr>
      <w:r>
        <w:rPr>
          <w:rFonts w:ascii="Tahoma" w:hAnsi="Tahoma" w:cs="Tahoma" w:eastAsia="Tahoma"/>
          <w:b w:val="0"/>
          <w:sz w:val="24"/>
        </w:rPr>
        <w:t>VitalFit opera tres sedes y ofrece membresías, clases grupales y sesiones de orientación. La gerencia quiere reducir cancelaciones, pero algunas franjas horarias ya están saturadas. El proyecto debe coordinar la retención con cupos, instructores y salas, sin convertir una alerta de abandono en una decisión automática sobre una persona.</w:t>
      </w:r>
    </w:p>
    <w:p>
      <w:pPr>
        <w:pStyle w:val="Heading2"/>
        <w:spacing w:line="276" w:lineRule="auto"/>
      </w:pPr>
      <w:r>
        <w:rPr>
          <w:rFonts w:ascii="Tahoma" w:hAnsi="Tahoma" w:cs="Tahoma" w:eastAsia="Tahoma"/>
          <w:sz w:val="24"/>
        </w:rPr>
        <w:t>Decisión que debe defender el equipo</w:t>
      </w:r>
    </w:p>
    <w:p>
      <w:pPr>
        <w:spacing w:line="276" w:lineRule="auto"/>
        <w:jc w:val="both"/>
      </w:pPr>
      <w:r>
        <w:rPr>
          <w:rFonts w:ascii="Tahoma" w:hAnsi="Tahoma" w:cs="Tahoma" w:eastAsia="Tahoma"/>
          <w:b w:val="0"/>
          <w:sz w:val="24"/>
        </w:rPr>
        <w:t>¿A qué socios ofrecer orientación y cómo asignar las clases de noviembre de 2026 para mejorar la contribución esperada y la cobertura de demanda dentro de los recursos disponibles?</w:t>
      </w:r>
    </w:p>
    <w:p>
      <w:pPr>
        <w:pStyle w:val="Heading2"/>
        <w:spacing w:line="276" w:lineRule="auto"/>
      </w:pPr>
      <w:r>
        <w:rPr>
          <w:rFonts w:ascii="Tahoma" w:hAnsi="Tahoma" w:cs="Tahoma" w:eastAsia="Tahoma"/>
          <w:sz w:val="24"/>
        </w:rPr>
        <w:t>Población y definición de abandono</w:t>
      </w:r>
    </w:p>
    <w:p>
      <w:pPr>
        <w:spacing w:line="276" w:lineRule="auto"/>
        <w:jc w:val="both"/>
      </w:pPr>
      <w:r>
        <w:rPr>
          <w:rFonts w:ascii="Tahoma" w:hAnsi="Tahoma" w:cs="Tahoma" w:eastAsia="Tahoma"/>
          <w:b w:val="0"/>
          <w:sz w:val="24"/>
        </w:rPr>
        <w:t>Socios activos al corte con al menos 30 días de antigüedad. Churn es cancelación o falta de renovación durante los 30 días siguientes al vencimiento que corresponda. Registrar el vencimiento y excluir cortes sin seguimiento completo.</w:t>
      </w:r>
    </w:p>
    <w:p>
      <w:pPr>
        <w:pStyle w:val="Heading2"/>
        <w:spacing w:line="276" w:lineRule="auto"/>
      </w:pPr>
      <w:r>
        <w:rPr>
          <w:rFonts w:ascii="Tahoma" w:hAnsi="Tahoma" w:cs="Tahoma" w:eastAsia="Tahoma"/>
          <w:sz w:val="24"/>
        </w:rPr>
        <w:t>Demanda que debe pronosticarse</w:t>
      </w:r>
    </w:p>
    <w:p>
      <w:pPr>
        <w:spacing w:line="276" w:lineRule="auto"/>
        <w:jc w:val="both"/>
      </w:pPr>
      <w:r>
        <w:rPr>
          <w:rFonts w:ascii="Tahoma" w:hAnsi="Tahoma" w:cs="Tahoma" w:eastAsia="Tahoma"/>
          <w:b w:val="0"/>
          <w:sz w:val="24"/>
        </w:rPr>
        <w:t>Reservas solicitadas por semana, sede y franja horaria durante cuatro semanas. Conservar lista de espera y no confundir asistencias observadas con demanda total.</w:t>
      </w:r>
    </w:p>
    <w:p>
      <w:pPr>
        <w:pStyle w:val="Heading2"/>
        <w:spacing w:line="276" w:lineRule="auto"/>
      </w:pPr>
      <w:r>
        <w:rPr>
          <w:rFonts w:ascii="Tahoma" w:hAnsi="Tahoma" w:cs="Tahoma" w:eastAsia="Tahoma"/>
          <w:sz w:val="24"/>
        </w:rPr>
        <w:t>Presupuesto y reglas del escenario</w:t>
      </w:r>
    </w:p>
    <w:tbl>
      <w:tblPr>
        <w:tblW w:type="auto" w:w="0"/>
        <w:tblLayout w:type="fixed"/>
        <w:tblLook w:firstColumn="1" w:firstRow="1" w:lastColumn="0" w:lastRow="0" w:noHBand="0" w:noVBand="1" w:val="04A0"/>
      </w:tblPr>
      <w:tblGrid>
        <w:gridCol w:w="1928"/>
        <w:gridCol w:w="8050"/>
      </w:tblGrid>
      <w:tr>
        <w:trPr>
          <w:tblHeader/>
          <w:cantSplit/>
        </w:trPr>
        <w:tc>
          <w:tcPr>
            <w:tcW w:type="dxa" w:w="1928"/>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Elemento</w:t>
            </w:r>
          </w:p>
        </w:tc>
        <w:tc>
          <w:tcPr>
            <w:tcW w:type="dxa" w:w="8050"/>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Condición del caso</w:t>
            </w:r>
          </w:p>
        </w:tc>
      </w:tr>
      <w:tr>
        <w:trPr>
          <w:cantSplit/>
        </w:trPr>
        <w:tc>
          <w:tcPr>
            <w:tcW w:type="dxa" w:w="19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Retención</w:t>
            </w:r>
          </w:p>
        </w:tc>
        <w:tc>
          <w:tcPr>
            <w:tcW w:type="dxa" w:w="805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Máximo S/ 4 500; llamada S/ 6; orientación S/ 18 por sesión utilizada; hasta 250 orientaciones y 400 llamadas.</w:t>
            </w:r>
          </w:p>
        </w:tc>
      </w:tr>
      <w:tr>
        <w:trPr>
          <w:cantSplit/>
        </w:trPr>
        <w:tc>
          <w:tcPr>
            <w:tcW w:type="dxa" w:w="192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Clases</w:t>
            </w:r>
          </w:p>
        </w:tc>
        <w:tc>
          <w:tcPr>
            <w:tcW w:type="dxa" w:w="8050"/>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Máximo 240 horas de instructor; 180 sesiones en cuatro semanas; 20 cupos por sesión y una sesión simultánea por sala. Mínimo 8 sesiones semanales por sede.</w:t>
            </w:r>
          </w:p>
        </w:tc>
      </w:tr>
      <w:tr>
        <w:trPr>
          <w:cantSplit/>
        </w:trPr>
        <w:tc>
          <w:tcPr>
            <w:tcW w:type="dxa" w:w="19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Escenario actual</w:t>
            </w:r>
          </w:p>
        </w:tc>
        <w:tc>
          <w:tcPr>
            <w:tcW w:type="dxa" w:w="805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Contactar los 300 socios elegibles con menor asistencia reciente y mantener el horario del mes anterior. Verificar cobertura y factibilidad frente a disponibilidad actual.</w:t>
            </w:r>
          </w:p>
        </w:tc>
      </w:tr>
      <w:tr>
        <w:trPr>
          <w:cantSplit/>
        </w:trPr>
        <w:tc>
          <w:tcPr>
            <w:tcW w:type="dxa" w:w="192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Sensibilidad</w:t>
            </w:r>
          </w:p>
        </w:tc>
        <w:tc>
          <w:tcPr>
            <w:tcW w:type="dxa" w:w="8050"/>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Incremento supuesto de renovación: 0, 0,03 y 0,07; comparar además una reducción del 10 % en horas de instructores.</w:t>
            </w:r>
          </w:p>
        </w:tc>
      </w:tr>
    </w:tbl>
    <w:p>
      <w:pPr>
        <w:spacing w:after="20" w:line="276" w:lineRule="auto"/>
        <w:jc w:val="both"/>
      </w:pPr>
    </w:p>
    <w:p>
      <w:pPr>
        <w:spacing w:line="276" w:lineRule="auto"/>
        <w:jc w:val="both"/>
      </w:pPr>
      <w:r>
        <w:rPr>
          <w:rFonts w:ascii="Tahoma" w:hAnsi="Tahoma" w:cs="Tahoma" w:eastAsia="Tahoma"/>
          <w:b w:val="0"/>
          <w:sz w:val="24"/>
        </w:rPr>
        <w:t>Los importes, capacidades y efectos anteriores son supuestos del enunciado, editables en la sensibilidad. Los datos del caso son compatibles con estas restricciones y permiten construir al menos una solución factible; si el equipo encuentra un conflicto, lo registra antes de resolver.</w:t>
      </w:r>
    </w:p>
    <w:p>
      <w:pPr>
        <w:spacing w:line="276" w:lineRule="auto"/>
        <w:jc w:val="both"/>
      </w:pPr>
      <w:r>
        <w:rPr>
          <w:rFonts w:ascii="Tahoma" w:hAnsi="Tahoma" w:cs="Tahoma" w:eastAsia="Tahoma"/>
          <w:sz w:val="24"/>
        </w:rPr>
        <w:br w:type="page"/>
      </w:r>
    </w:p>
    <w:p>
      <w:pPr>
        <w:pStyle w:val="Heading1"/>
        <w:spacing w:line="276" w:lineRule="auto"/>
      </w:pPr>
      <w:r>
        <w:rPr>
          <w:rFonts w:ascii="Tahoma" w:hAnsi="Tahoma" w:cs="Tahoma" w:eastAsia="Tahoma"/>
          <w:sz w:val="24"/>
        </w:rPr>
        <w:t>Desarrollo del caso VitalFit</w:t>
      </w:r>
    </w:p>
    <w:p>
      <w:pPr>
        <w:pStyle w:val="Heading2"/>
        <w:spacing w:line="276" w:lineRule="auto"/>
      </w:pPr>
      <w:r>
        <w:rPr>
          <w:rFonts w:ascii="Tahoma" w:hAnsi="Tahoma" w:cs="Tahoma" w:eastAsia="Tahoma"/>
          <w:sz w:val="24"/>
        </w:rPr>
        <w:t>Modelo prescriptivo</w:t>
      </w:r>
    </w:p>
    <w:p>
      <w:pPr>
        <w:spacing w:line="276" w:lineRule="auto"/>
        <w:jc w:val="both"/>
      </w:pPr>
      <w:r>
        <w:rPr>
          <w:rFonts w:ascii="Tahoma" w:hAnsi="Tahoma" w:cs="Tahoma" w:eastAsia="Tahoma"/>
          <w:b w:val="0"/>
          <w:sz w:val="24"/>
        </w:rPr>
        <w:t>Asignar sesiones enteras por sede y franja, y contactos de orientación. Maximizar contribución esperada neta; respetar disponibilidad de instructores, salas y cobertura mínima. Justificar cualquier beneficio de retención como escenario.</w:t>
      </w:r>
    </w:p>
    <w:p>
      <w:pPr>
        <w:pStyle w:val="Heading2"/>
        <w:spacing w:line="276" w:lineRule="auto"/>
      </w:pPr>
      <w:r>
        <w:rPr>
          <w:rFonts w:ascii="Tahoma" w:hAnsi="Tahoma" w:cs="Tahoma" w:eastAsia="Tahoma"/>
          <w:sz w:val="24"/>
        </w:rPr>
        <w:t>Anomalías y control</w:t>
      </w:r>
    </w:p>
    <w:p>
      <w:pPr>
        <w:spacing w:line="276" w:lineRule="auto"/>
        <w:jc w:val="both"/>
      </w:pPr>
      <w:r>
        <w:rPr>
          <w:rFonts w:ascii="Tahoma" w:hAnsi="Tahoma" w:cs="Tahoma" w:eastAsia="Tahoma"/>
          <w:b w:val="0"/>
          <w:sz w:val="24"/>
        </w:rPr>
        <w:t>Detectar registros de acceso duplicados y ocupación inusual. Construir una carta de control de la proporción semanal de reservas con inasistencia, usando su denominador y considerando diferencias entre sedes.</w:t>
      </w:r>
    </w:p>
    <w:p>
      <w:pPr>
        <w:pStyle w:val="Heading2"/>
        <w:spacing w:line="276" w:lineRule="auto"/>
      </w:pPr>
      <w:r>
        <w:rPr>
          <w:rFonts w:ascii="Tahoma" w:hAnsi="Tahoma" w:cs="Tahoma" w:eastAsia="Tahoma"/>
          <w:sz w:val="24"/>
        </w:rPr>
        <w:t>Auditoría y documentación</w:t>
      </w:r>
    </w:p>
    <w:p>
      <w:pPr>
        <w:spacing w:line="276" w:lineRule="auto"/>
        <w:jc w:val="both"/>
      </w:pPr>
      <w:r>
        <w:rPr>
          <w:rFonts w:ascii="Tahoma" w:hAnsi="Tahoma" w:cs="Tahoma" w:eastAsia="Tahoma"/>
          <w:b w:val="0"/>
          <w:sz w:val="24"/>
        </w:rPr>
        <w:t>Auditar errores del modelo por sede y tipo de membresía. Evitar datos de salud, biometría e inferencias médicas; describir qué información se excluye del producto.</w:t>
      </w:r>
    </w:p>
    <w:p>
      <w:pPr>
        <w:spacing w:line="276" w:lineRule="auto"/>
        <w:jc w:val="both"/>
      </w:pPr>
      <w:r>
        <w:rPr>
          <w:rFonts w:ascii="Tahoma" w:hAnsi="Tahoma" w:cs="Tahoma" w:eastAsia="Tahoma"/>
          <w:b w:val="0"/>
          <w:sz w:val="24"/>
        </w:rPr>
        <w:t>Documentos para el asistente: Reglas de renovación, cancelación, reserva y uso de salas; protocolo de revisión humana de alertas.</w:t>
      </w:r>
    </w:p>
    <w:p>
      <w:pPr>
        <w:pStyle w:val="Heading2"/>
        <w:spacing w:line="276" w:lineRule="auto"/>
      </w:pPr>
      <w:r>
        <w:rPr>
          <w:rFonts w:ascii="Tahoma" w:hAnsi="Tahoma" w:cs="Tahoma" w:eastAsia="Tahoma"/>
          <w:sz w:val="24"/>
        </w:rPr>
        <w:t>Producto y recomendación</w:t>
      </w:r>
    </w:p>
    <w:p>
      <w:pPr>
        <w:spacing w:line="276" w:lineRule="auto"/>
        <w:jc w:val="both"/>
      </w:pPr>
      <w:r>
        <w:rPr>
          <w:rFonts w:ascii="Tahoma" w:hAnsi="Tahoma" w:cs="Tahoma" w:eastAsia="Tahoma"/>
          <w:b w:val="0"/>
          <w:sz w:val="24"/>
        </w:rPr>
        <w:t>Panel de retención con revisión humana, pronóstico de reservas, calendario de clases optimizado, alertas de ocupación y consulta de reglas del servicio.</w:t>
      </w:r>
    </w:p>
    <w:p>
      <w:pPr>
        <w:pStyle w:val="Heading2"/>
        <w:spacing w:line="276" w:lineRule="auto"/>
      </w:pPr>
      <w:r>
        <w:rPr>
          <w:rFonts w:ascii="Tahoma" w:hAnsi="Tahoma" w:cs="Tahoma" w:eastAsia="Tahoma"/>
          <w:sz w:val="24"/>
        </w:rPr>
        <w:t>Preguntas para la sustentación</w:t>
      </w:r>
    </w:p>
    <w:p>
      <w:pPr>
        <w:pStyle w:val="ListBullet"/>
        <w:spacing w:after="80" w:line="276" w:lineRule="auto"/>
        <w:jc w:val="both"/>
      </w:pPr>
      <w:r>
        <w:rPr>
          <w:rFonts w:ascii="Tahoma" w:hAnsi="Tahoma" w:cs="Tahoma" w:eastAsia="Tahoma"/>
          <w:sz w:val="24"/>
        </w:rPr>
        <w:t>¿Puede una baja asistencia ser una señal de abandono sin demostrar su causa?</w:t>
      </w:r>
    </w:p>
    <w:p>
      <w:pPr>
        <w:pStyle w:val="ListBullet"/>
        <w:spacing w:after="80" w:line="276" w:lineRule="auto"/>
        <w:jc w:val="both"/>
      </w:pPr>
      <w:r>
        <w:rPr>
          <w:rFonts w:ascii="Tahoma" w:hAnsi="Tahoma" w:cs="Tahoma" w:eastAsia="Tahoma"/>
          <w:sz w:val="24"/>
        </w:rPr>
        <w:t>¿Cómo cambia la recomendación cuando se reduce la capacidad de instructores?</w:t>
      </w:r>
    </w:p>
    <w:p>
      <w:pPr>
        <w:pStyle w:val="ListBullet"/>
        <w:spacing w:after="80" w:line="276" w:lineRule="auto"/>
        <w:jc w:val="both"/>
      </w:pPr>
      <w:r>
        <w:rPr>
          <w:rFonts w:ascii="Tahoma" w:hAnsi="Tahoma" w:cs="Tahoma" w:eastAsia="Tahoma"/>
          <w:sz w:val="24"/>
        </w:rPr>
        <w:t>¿Qué socios elegibles quedan sin intervención y por qué?</w:t>
      </w:r>
    </w:p>
    <w:p>
      <w:pPr>
        <w:spacing w:after="20" w:line="276" w:lineRule="auto"/>
        <w:jc w:val="both"/>
      </w:pPr>
    </w:p>
    <w:p>
      <w:pPr>
        <w:spacing w:line="276" w:lineRule="auto"/>
        <w:jc w:val="both"/>
      </w:pPr>
      <w:r>
        <w:rPr>
          <w:rFonts w:ascii="Tahoma" w:hAnsi="Tahoma" w:cs="Tahoma" w:eastAsia="Tahoma"/>
          <w:sz w:val="24"/>
        </w:rPr>
        <w:br w:type="page"/>
      </w:r>
    </w:p>
    <w:p>
      <w:pPr>
        <w:pStyle w:val="Heading1"/>
        <w:spacing w:line="276" w:lineRule="auto"/>
      </w:pPr>
      <w:r>
        <w:rPr>
          <w:rFonts w:ascii="Tahoma" w:hAnsi="Tahoma" w:cs="Tahoma" w:eastAsia="Tahoma"/>
          <w:sz w:val="24"/>
        </w:rPr>
        <w:t>Grupo 4 Suministros Sur</w:t>
      </w:r>
    </w:p>
    <w:p>
      <w:pPr>
        <w:spacing w:line="276" w:lineRule="auto"/>
        <w:jc w:val="both"/>
      </w:pPr>
      <w:r>
        <w:rPr>
          <w:rFonts w:ascii="Tahoma" w:hAnsi="Tahoma" w:cs="Tahoma" w:eastAsia="Tahoma"/>
          <w:b/>
          <w:sz w:val="24"/>
        </w:rPr>
        <w:t>Distribución B2B para restaurantes y pequeños hoteles</w:t>
      </w:r>
    </w:p>
    <w:p>
      <w:pPr>
        <w:pStyle w:val="Heading2"/>
        <w:spacing w:line="276" w:lineRule="auto"/>
      </w:pPr>
      <w:r>
        <w:rPr>
          <w:rFonts w:ascii="Tahoma" w:hAnsi="Tahoma" w:cs="Tahoma" w:eastAsia="Tahoma"/>
          <w:sz w:val="24"/>
        </w:rPr>
        <w:t>Situación empresarial</w:t>
      </w:r>
    </w:p>
    <w:p>
      <w:pPr>
        <w:spacing w:line="276" w:lineRule="auto"/>
        <w:jc w:val="both"/>
      </w:pPr>
      <w:r>
        <w:rPr>
          <w:rFonts w:ascii="Tahoma" w:hAnsi="Tahoma" w:cs="Tahoma" w:eastAsia="Tahoma"/>
          <w:b w:val="0"/>
          <w:sz w:val="24"/>
        </w:rPr>
        <w:t>Suministros Sur vende insumos de limpieza y empaque a negocios de Cusco y el Valle Sagrado. Algunos clientes reducen pedidos tras entregas tardías. Comercial propone priorizar a quienes facturan más, pero Logística tiene límites de peso, rutas y horas de despacho. El proyecto evaluará retención y abastecimiento sin confundir facturación con margen.</w:t>
      </w:r>
    </w:p>
    <w:p>
      <w:pPr>
        <w:pStyle w:val="Heading2"/>
        <w:spacing w:line="276" w:lineRule="auto"/>
      </w:pPr>
      <w:r>
        <w:rPr>
          <w:rFonts w:ascii="Tahoma" w:hAnsi="Tahoma" w:cs="Tahoma" w:eastAsia="Tahoma"/>
          <w:sz w:val="24"/>
        </w:rPr>
        <w:t>Decisión que debe defender el equipo</w:t>
      </w:r>
    </w:p>
    <w:p>
      <w:pPr>
        <w:spacing w:line="276" w:lineRule="auto"/>
        <w:jc w:val="both"/>
      </w:pPr>
      <w:r>
        <w:rPr>
          <w:rFonts w:ascii="Tahoma" w:hAnsi="Tahoma" w:cs="Tahoma" w:eastAsia="Tahoma"/>
          <w:b w:val="0"/>
          <w:sz w:val="24"/>
        </w:rPr>
        <w:t>¿Qué cuentas contactar, qué insumos comprar y qué pedidos priorizar en noviembre de 2026 para maximizar contribución esperada bajo presupuesto y capacidad logística?</w:t>
      </w:r>
    </w:p>
    <w:p>
      <w:pPr>
        <w:pStyle w:val="Heading2"/>
        <w:spacing w:line="276" w:lineRule="auto"/>
      </w:pPr>
      <w:r>
        <w:rPr>
          <w:rFonts w:ascii="Tahoma" w:hAnsi="Tahoma" w:cs="Tahoma" w:eastAsia="Tahoma"/>
          <w:sz w:val="24"/>
        </w:rPr>
        <w:t>Población y definición de abandono</w:t>
      </w:r>
    </w:p>
    <w:p>
      <w:pPr>
        <w:spacing w:line="276" w:lineRule="auto"/>
        <w:jc w:val="both"/>
      </w:pPr>
      <w:r>
        <w:rPr>
          <w:rFonts w:ascii="Tahoma" w:hAnsi="Tahoma" w:cs="Tahoma" w:eastAsia="Tahoma"/>
          <w:b w:val="0"/>
          <w:sz w:val="24"/>
        </w:rPr>
        <w:t>Cuentas con al menos dos pedidos entregados en los 120 días previos al corte. Churn operativo: ningún nuevo pedido entregado durante los 60 días siguientes. Excluir cuentas estacionales suspendidas según regla documentada.</w:t>
      </w:r>
    </w:p>
    <w:p>
      <w:pPr>
        <w:pStyle w:val="Heading2"/>
        <w:spacing w:line="276" w:lineRule="auto"/>
      </w:pPr>
      <w:r>
        <w:rPr>
          <w:rFonts w:ascii="Tahoma" w:hAnsi="Tahoma" w:cs="Tahoma" w:eastAsia="Tahoma"/>
          <w:sz w:val="24"/>
        </w:rPr>
        <w:t>Demanda que debe pronosticarse</w:t>
      </w:r>
    </w:p>
    <w:p>
      <w:pPr>
        <w:spacing w:line="276" w:lineRule="auto"/>
        <w:jc w:val="both"/>
      </w:pPr>
      <w:r>
        <w:rPr>
          <w:rFonts w:ascii="Tahoma" w:hAnsi="Tahoma" w:cs="Tahoma" w:eastAsia="Tahoma"/>
          <w:b w:val="0"/>
          <w:sz w:val="24"/>
        </w:rPr>
        <w:t>Unidades solicitadas por semana y familia para cuatro semanas, separando pedidos entregados, pendientes y cancelados por falta de stock.</w:t>
      </w:r>
    </w:p>
    <w:p>
      <w:pPr>
        <w:pStyle w:val="Heading2"/>
        <w:spacing w:line="276" w:lineRule="auto"/>
      </w:pPr>
      <w:r>
        <w:rPr>
          <w:rFonts w:ascii="Tahoma" w:hAnsi="Tahoma" w:cs="Tahoma" w:eastAsia="Tahoma"/>
          <w:sz w:val="24"/>
        </w:rPr>
        <w:t>Presupuesto y reglas del escenario</w:t>
      </w:r>
    </w:p>
    <w:tbl>
      <w:tblPr>
        <w:tblW w:type="auto" w:w="0"/>
        <w:tblLayout w:type="fixed"/>
        <w:tblLook w:firstColumn="1" w:firstRow="1" w:lastColumn="0" w:lastRow="0" w:noHBand="0" w:noVBand="1" w:val="04A0"/>
      </w:tblPr>
      <w:tblGrid>
        <w:gridCol w:w="1928"/>
        <w:gridCol w:w="8050"/>
      </w:tblGrid>
      <w:tr>
        <w:trPr>
          <w:tblHeader/>
          <w:cantSplit/>
        </w:trPr>
        <w:tc>
          <w:tcPr>
            <w:tcW w:type="dxa" w:w="1928"/>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Elemento</w:t>
            </w:r>
          </w:p>
        </w:tc>
        <w:tc>
          <w:tcPr>
            <w:tcW w:type="dxa" w:w="8050"/>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Condición del caso</w:t>
            </w:r>
          </w:p>
        </w:tc>
      </w:tr>
      <w:tr>
        <w:trPr>
          <w:cantSplit/>
        </w:trPr>
        <w:tc>
          <w:tcPr>
            <w:tcW w:type="dxa" w:w="19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Retención</w:t>
            </w:r>
          </w:p>
        </w:tc>
        <w:tc>
          <w:tcPr>
            <w:tcW w:type="dxa" w:w="805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Máximo S/ 6 000; contacto comercial S/ 12 por cuenta; hasta 280 cuentas. Incentivo máximo S/ 35 por cuenta que lo utilice, con coste esperado explícito.</w:t>
            </w:r>
          </w:p>
        </w:tc>
      </w:tr>
      <w:tr>
        <w:trPr>
          <w:cantSplit/>
        </w:trPr>
        <w:tc>
          <w:tcPr>
            <w:tcW w:type="dxa" w:w="192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Abastecimiento</w:t>
            </w:r>
          </w:p>
        </w:tc>
        <w:tc>
          <w:tcPr>
            <w:tcW w:type="dxa" w:w="8050"/>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Máximo S/ 65 000; 7 500 kg de carga en cuatro semanas; 320 horas de reparto. Al menos 20 % de la capacidad de carga se reserva para cada una de las dos zonas.</w:t>
            </w:r>
          </w:p>
        </w:tc>
      </w:tr>
      <w:tr>
        <w:trPr>
          <w:cantSplit/>
        </w:trPr>
        <w:tc>
          <w:tcPr>
            <w:tcW w:type="dxa" w:w="19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Escenario actual</w:t>
            </w:r>
          </w:p>
        </w:tc>
        <w:tc>
          <w:tcPr>
            <w:tcW w:type="dxa" w:w="805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Contactar las 200 cuentas elegibles de mayor facturación histórica y comprar según las últimas cuatro semanas; comprobar peso, horas y presupuesto antes de comparar.</w:t>
            </w:r>
          </w:p>
        </w:tc>
      </w:tr>
      <w:tr>
        <w:trPr>
          <w:cantSplit/>
        </w:trPr>
        <w:tc>
          <w:tcPr>
            <w:tcW w:type="dxa" w:w="192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Sensibilidad</w:t>
            </w:r>
          </w:p>
        </w:tc>
        <w:tc>
          <w:tcPr>
            <w:tcW w:type="dxa" w:w="8050"/>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Efecto incremental supuesto de retención: 0, 0,04 y 0,09; comparar capacidad logística normal y reducción del 15 %.</w:t>
            </w:r>
          </w:p>
        </w:tc>
      </w:tr>
    </w:tbl>
    <w:p>
      <w:pPr>
        <w:spacing w:after="20" w:line="276" w:lineRule="auto"/>
        <w:jc w:val="both"/>
      </w:pPr>
    </w:p>
    <w:p>
      <w:pPr>
        <w:spacing w:line="276" w:lineRule="auto"/>
        <w:jc w:val="both"/>
      </w:pPr>
      <w:r>
        <w:rPr>
          <w:rFonts w:ascii="Tahoma" w:hAnsi="Tahoma" w:cs="Tahoma" w:eastAsia="Tahoma"/>
          <w:b w:val="0"/>
          <w:sz w:val="24"/>
        </w:rPr>
        <w:t>Los importes, capacidades y efectos anteriores son supuestos del enunciado, editables en la sensibilidad. Los datos del caso son compatibles con estas restricciones y permiten construir al menos una solución factible; si el equipo encuentra un conflicto, lo registra antes de resolver.</w:t>
      </w:r>
    </w:p>
    <w:p>
      <w:pPr>
        <w:spacing w:line="276" w:lineRule="auto"/>
        <w:jc w:val="both"/>
      </w:pPr>
      <w:r>
        <w:rPr>
          <w:rFonts w:ascii="Tahoma" w:hAnsi="Tahoma" w:cs="Tahoma" w:eastAsia="Tahoma"/>
          <w:sz w:val="24"/>
        </w:rPr>
        <w:br w:type="page"/>
      </w:r>
    </w:p>
    <w:p>
      <w:pPr>
        <w:pStyle w:val="Heading1"/>
        <w:spacing w:line="276" w:lineRule="auto"/>
      </w:pPr>
      <w:r>
        <w:rPr>
          <w:rFonts w:ascii="Tahoma" w:hAnsi="Tahoma" w:cs="Tahoma" w:eastAsia="Tahoma"/>
          <w:sz w:val="24"/>
        </w:rPr>
        <w:t>Desarrollo del caso Suministros Sur</w:t>
      </w:r>
    </w:p>
    <w:p>
      <w:pPr>
        <w:pStyle w:val="Heading2"/>
        <w:spacing w:line="276" w:lineRule="auto"/>
      </w:pPr>
      <w:r>
        <w:rPr>
          <w:rFonts w:ascii="Tahoma" w:hAnsi="Tahoma" w:cs="Tahoma" w:eastAsia="Tahoma"/>
          <w:sz w:val="24"/>
        </w:rPr>
        <w:t>Modelo prescriptivo</w:t>
      </w:r>
    </w:p>
    <w:p>
      <w:pPr>
        <w:spacing w:line="276" w:lineRule="auto"/>
        <w:jc w:val="both"/>
      </w:pPr>
      <w:r>
        <w:rPr>
          <w:rFonts w:ascii="Tahoma" w:hAnsi="Tahoma" w:cs="Tahoma" w:eastAsia="Tahoma"/>
          <w:b w:val="0"/>
          <w:sz w:val="24"/>
        </w:rPr>
        <w:t>Asignar compra entera por familia y contactos por tipo de cuenta. Maximizar margen neto esperado bajo presupuesto, peso y disponibilidad. La prioridad de despacho se modela por zona agregada; no se exige resolver rutas geográficas.</w:t>
      </w:r>
    </w:p>
    <w:p>
      <w:pPr>
        <w:pStyle w:val="Heading2"/>
        <w:spacing w:line="276" w:lineRule="auto"/>
      </w:pPr>
      <w:r>
        <w:rPr>
          <w:rFonts w:ascii="Tahoma" w:hAnsi="Tahoma" w:cs="Tahoma" w:eastAsia="Tahoma"/>
          <w:sz w:val="24"/>
        </w:rPr>
        <w:t>Anomalías y control</w:t>
      </w:r>
    </w:p>
    <w:p>
      <w:pPr>
        <w:spacing w:line="276" w:lineRule="auto"/>
        <w:jc w:val="both"/>
      </w:pPr>
      <w:r>
        <w:rPr>
          <w:rFonts w:ascii="Tahoma" w:hAnsi="Tahoma" w:cs="Tahoma" w:eastAsia="Tahoma"/>
          <w:b w:val="0"/>
          <w:sz w:val="24"/>
        </w:rPr>
        <w:t>Detectar notas de crédito y retrasos de entrega atípicos. Elaborar una carta de control del tiempo de entrega por zona utilizando una línea base comparable; no etiquetar una señal como fraude confirmado.</w:t>
      </w:r>
    </w:p>
    <w:p>
      <w:pPr>
        <w:pStyle w:val="Heading2"/>
        <w:spacing w:line="276" w:lineRule="auto"/>
      </w:pPr>
      <w:r>
        <w:rPr>
          <w:rFonts w:ascii="Tahoma" w:hAnsi="Tahoma" w:cs="Tahoma" w:eastAsia="Tahoma"/>
          <w:sz w:val="24"/>
        </w:rPr>
        <w:t>Auditoría y documentación</w:t>
      </w:r>
    </w:p>
    <w:p>
      <w:pPr>
        <w:spacing w:line="276" w:lineRule="auto"/>
        <w:jc w:val="both"/>
      </w:pPr>
      <w:r>
        <w:rPr>
          <w:rFonts w:ascii="Tahoma" w:hAnsi="Tahoma" w:cs="Tahoma" w:eastAsia="Tahoma"/>
          <w:b w:val="0"/>
          <w:sz w:val="24"/>
        </w:rPr>
        <w:t>Auditar errores y cobertura de intervención por zona y tamaño de negocio. Los contactos comerciales son identificadores seudonimizados, sin teléfonos ni nombres reales.</w:t>
      </w:r>
    </w:p>
    <w:p>
      <w:pPr>
        <w:spacing w:line="276" w:lineRule="auto"/>
        <w:jc w:val="both"/>
      </w:pPr>
      <w:r>
        <w:rPr>
          <w:rFonts w:ascii="Tahoma" w:hAnsi="Tahoma" w:cs="Tahoma" w:eastAsia="Tahoma"/>
          <w:b w:val="0"/>
          <w:sz w:val="24"/>
        </w:rPr>
        <w:t>Documentos para el asistente: Política de crédito, devoluciones, entregas y prioridades de servicio por zona.</w:t>
      </w:r>
    </w:p>
    <w:p>
      <w:pPr>
        <w:pStyle w:val="Heading2"/>
        <w:spacing w:line="276" w:lineRule="auto"/>
      </w:pPr>
      <w:r>
        <w:rPr>
          <w:rFonts w:ascii="Tahoma" w:hAnsi="Tahoma" w:cs="Tahoma" w:eastAsia="Tahoma"/>
          <w:sz w:val="24"/>
        </w:rPr>
        <w:t>Producto y recomendación</w:t>
      </w:r>
    </w:p>
    <w:p>
      <w:pPr>
        <w:spacing w:line="276" w:lineRule="auto"/>
        <w:jc w:val="both"/>
      </w:pPr>
      <w:r>
        <w:rPr>
          <w:rFonts w:ascii="Tahoma" w:hAnsi="Tahoma" w:cs="Tahoma" w:eastAsia="Tahoma"/>
          <w:b w:val="0"/>
          <w:sz w:val="24"/>
        </w:rPr>
        <w:t>Tablero de cuentas en riesgo, demanda y compras por familia, uso de capacidad por zona, alertas de entrega y asistente sobre crédito y servicio.</w:t>
      </w:r>
    </w:p>
    <w:p>
      <w:pPr>
        <w:pStyle w:val="Heading2"/>
        <w:spacing w:line="276" w:lineRule="auto"/>
      </w:pPr>
      <w:r>
        <w:rPr>
          <w:rFonts w:ascii="Tahoma" w:hAnsi="Tahoma" w:cs="Tahoma" w:eastAsia="Tahoma"/>
          <w:sz w:val="24"/>
        </w:rPr>
        <w:t>Preguntas para la sustentación</w:t>
      </w:r>
    </w:p>
    <w:p>
      <w:pPr>
        <w:pStyle w:val="ListBullet"/>
        <w:spacing w:after="80" w:line="276" w:lineRule="auto"/>
        <w:jc w:val="both"/>
      </w:pPr>
      <w:r>
        <w:rPr>
          <w:rFonts w:ascii="Tahoma" w:hAnsi="Tahoma" w:cs="Tahoma" w:eastAsia="Tahoma"/>
          <w:sz w:val="24"/>
        </w:rPr>
        <w:t>¿Se mantiene la recomendación si se prioriza margen en vez de facturación?</w:t>
      </w:r>
    </w:p>
    <w:p>
      <w:pPr>
        <w:pStyle w:val="ListBullet"/>
        <w:spacing w:after="80" w:line="276" w:lineRule="auto"/>
        <w:jc w:val="both"/>
      </w:pPr>
      <w:r>
        <w:rPr>
          <w:rFonts w:ascii="Tahoma" w:hAnsi="Tahoma" w:cs="Tahoma" w:eastAsia="Tahoma"/>
          <w:sz w:val="24"/>
        </w:rPr>
        <w:t>¿Qué coste tiene reservar cobertura para ambas zonas?</w:t>
      </w:r>
    </w:p>
    <w:p>
      <w:pPr>
        <w:pStyle w:val="ListBullet"/>
        <w:spacing w:after="80" w:line="276" w:lineRule="auto"/>
        <w:jc w:val="both"/>
      </w:pPr>
      <w:r>
        <w:rPr>
          <w:rFonts w:ascii="Tahoma" w:hAnsi="Tahoma" w:cs="Tahoma" w:eastAsia="Tahoma"/>
          <w:sz w:val="24"/>
        </w:rPr>
        <w:t>¿Una entrega tardía prueba por sí sola la causa de la inactividad de un cliente?</w:t>
      </w:r>
    </w:p>
    <w:p>
      <w:pPr>
        <w:spacing w:after="20" w:line="276" w:lineRule="auto"/>
        <w:jc w:val="both"/>
      </w:pPr>
    </w:p>
    <w:p>
      <w:pPr>
        <w:spacing w:line="276" w:lineRule="auto"/>
        <w:jc w:val="both"/>
      </w:pPr>
      <w:r>
        <w:rPr>
          <w:rFonts w:ascii="Tahoma" w:hAnsi="Tahoma" w:cs="Tahoma" w:eastAsia="Tahoma"/>
          <w:sz w:val="24"/>
        </w:rPr>
        <w:br w:type="page"/>
      </w:r>
    </w:p>
    <w:p>
      <w:pPr>
        <w:pStyle w:val="Heading1"/>
        <w:spacing w:line="276" w:lineRule="auto"/>
      </w:pPr>
      <w:r>
        <w:rPr>
          <w:rFonts w:ascii="Tahoma" w:hAnsi="Tahoma" w:cs="Tahoma" w:eastAsia="Tahoma"/>
          <w:sz w:val="24"/>
        </w:rPr>
        <w:t>Grupo 5 AulaActiva</w:t>
      </w:r>
    </w:p>
    <w:p>
      <w:pPr>
        <w:spacing w:line="276" w:lineRule="auto"/>
        <w:jc w:val="both"/>
      </w:pPr>
      <w:r>
        <w:rPr>
          <w:rFonts w:ascii="Tahoma" w:hAnsi="Tahoma" w:cs="Tahoma" w:eastAsia="Tahoma"/>
          <w:b/>
          <w:sz w:val="24"/>
        </w:rPr>
        <w:t>Plataforma de formación continua por suscripción</w:t>
      </w:r>
    </w:p>
    <w:p>
      <w:pPr>
        <w:pStyle w:val="Heading2"/>
        <w:spacing w:line="276" w:lineRule="auto"/>
      </w:pPr>
      <w:r>
        <w:rPr>
          <w:rFonts w:ascii="Tahoma" w:hAnsi="Tahoma" w:cs="Tahoma" w:eastAsia="Tahoma"/>
          <w:sz w:val="24"/>
        </w:rPr>
        <w:t>Situación empresarial</w:t>
      </w:r>
    </w:p>
    <w:p>
      <w:pPr>
        <w:spacing w:line="276" w:lineRule="auto"/>
        <w:jc w:val="both"/>
      </w:pPr>
      <w:r>
        <w:rPr>
          <w:rFonts w:ascii="Tahoma" w:hAnsi="Tahoma" w:cs="Tahoma" w:eastAsia="Tahoma"/>
          <w:b w:val="0"/>
          <w:sz w:val="24"/>
        </w:rPr>
        <w:t>AulaActiva ofrece acceso mensual a cursos cortos y tutorías. La gerencia desea reducir la no renovación, anticipar las solicitudes de apoyo y distribuir tutores entre áreas. El sistema genera registros de actividad que pueden contener errores o patrones automatizados. El asistente debe responder sobre servicios y condiciones sin inventar certificados ni garantías de aprendizaje.</w:t>
      </w:r>
    </w:p>
    <w:p>
      <w:pPr>
        <w:pStyle w:val="Heading2"/>
        <w:spacing w:line="276" w:lineRule="auto"/>
      </w:pPr>
      <w:r>
        <w:rPr>
          <w:rFonts w:ascii="Tahoma" w:hAnsi="Tahoma" w:cs="Tahoma" w:eastAsia="Tahoma"/>
          <w:sz w:val="24"/>
        </w:rPr>
        <w:t>Decisión que debe defender el equipo</w:t>
      </w:r>
    </w:p>
    <w:p>
      <w:pPr>
        <w:spacing w:line="276" w:lineRule="auto"/>
        <w:jc w:val="both"/>
      </w:pPr>
      <w:r>
        <w:rPr>
          <w:rFonts w:ascii="Tahoma" w:hAnsi="Tahoma" w:cs="Tahoma" w:eastAsia="Tahoma"/>
          <w:b w:val="0"/>
          <w:sz w:val="24"/>
        </w:rPr>
        <w:t>¿A qué suscriptores ofrecer acompañamiento y cómo distribuir las horas de tutoría en noviembre de 2026 para mejorar el margen esperado y atender demanda sin superar el presupuesto?</w:t>
      </w:r>
    </w:p>
    <w:p>
      <w:pPr>
        <w:pStyle w:val="Heading2"/>
        <w:spacing w:line="276" w:lineRule="auto"/>
      </w:pPr>
      <w:r>
        <w:rPr>
          <w:rFonts w:ascii="Tahoma" w:hAnsi="Tahoma" w:cs="Tahoma" w:eastAsia="Tahoma"/>
          <w:sz w:val="24"/>
        </w:rPr>
        <w:t>Población y definición de abandono</w:t>
      </w:r>
    </w:p>
    <w:p>
      <w:pPr>
        <w:spacing w:line="276" w:lineRule="auto"/>
        <w:jc w:val="both"/>
      </w:pPr>
      <w:r>
        <w:rPr>
          <w:rFonts w:ascii="Tahoma" w:hAnsi="Tahoma" w:cs="Tahoma" w:eastAsia="Tahoma"/>
          <w:b w:val="0"/>
          <w:sz w:val="24"/>
        </w:rPr>
        <w:t>Suscriptores activos al corte con al menos 30 días de antigüedad. Churn es no renovar dentro de los 30 días posteriores a su vencimiento. Diferenciar finalización de un curso de cancelación de la suscripción.</w:t>
      </w:r>
    </w:p>
    <w:p>
      <w:pPr>
        <w:pStyle w:val="Heading2"/>
        <w:spacing w:line="276" w:lineRule="auto"/>
      </w:pPr>
      <w:r>
        <w:rPr>
          <w:rFonts w:ascii="Tahoma" w:hAnsi="Tahoma" w:cs="Tahoma" w:eastAsia="Tahoma"/>
          <w:sz w:val="24"/>
        </w:rPr>
        <w:t>Demanda que debe pronosticarse</w:t>
      </w:r>
    </w:p>
    <w:p>
      <w:pPr>
        <w:spacing w:line="276" w:lineRule="auto"/>
        <w:jc w:val="both"/>
      </w:pPr>
      <w:r>
        <w:rPr>
          <w:rFonts w:ascii="Tahoma" w:hAnsi="Tahoma" w:cs="Tahoma" w:eastAsia="Tahoma"/>
          <w:b w:val="0"/>
          <w:sz w:val="24"/>
        </w:rPr>
        <w:t>Solicitudes de tutoría por semana y área durante cuatro semanas. Conservar solicitudes no atendidas y no utilizar solo las sesiones realizadas como demanda.</w:t>
      </w:r>
    </w:p>
    <w:p>
      <w:pPr>
        <w:pStyle w:val="Heading2"/>
        <w:spacing w:line="276" w:lineRule="auto"/>
      </w:pPr>
      <w:r>
        <w:rPr>
          <w:rFonts w:ascii="Tahoma" w:hAnsi="Tahoma" w:cs="Tahoma" w:eastAsia="Tahoma"/>
          <w:sz w:val="24"/>
        </w:rPr>
        <w:t>Presupuesto y reglas del escenario</w:t>
      </w:r>
    </w:p>
    <w:tbl>
      <w:tblPr>
        <w:tblW w:type="auto" w:w="0"/>
        <w:tblLayout w:type="fixed"/>
        <w:tblLook w:firstColumn="1" w:firstRow="1" w:lastColumn="0" w:lastRow="0" w:noHBand="0" w:noVBand="1" w:val="04A0"/>
      </w:tblPr>
      <w:tblGrid>
        <w:gridCol w:w="1928"/>
        <w:gridCol w:w="8050"/>
      </w:tblGrid>
      <w:tr>
        <w:trPr>
          <w:tblHeader/>
          <w:cantSplit/>
        </w:trPr>
        <w:tc>
          <w:tcPr>
            <w:tcW w:type="dxa" w:w="1928"/>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Elemento</w:t>
            </w:r>
          </w:p>
        </w:tc>
        <w:tc>
          <w:tcPr>
            <w:tcW w:type="dxa" w:w="8050"/>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Condición del caso</w:t>
            </w:r>
          </w:p>
        </w:tc>
      </w:tr>
      <w:tr>
        <w:trPr>
          <w:cantSplit/>
        </w:trPr>
        <w:tc>
          <w:tcPr>
            <w:tcW w:type="dxa" w:w="19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Acompañamiento</w:t>
            </w:r>
          </w:p>
        </w:tc>
        <w:tc>
          <w:tcPr>
            <w:tcW w:type="dxa" w:w="805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Máximo S/ 3 600; mensaje S/ 1; llamada S/ 5; máximo 900 mensajes y 150 llamadas. Un suscriptor recibe como máximo un canal de contacto.</w:t>
            </w:r>
          </w:p>
        </w:tc>
      </w:tr>
      <w:tr>
        <w:trPr>
          <w:cantSplit/>
        </w:trPr>
        <w:tc>
          <w:tcPr>
            <w:tcW w:type="dxa" w:w="192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Tutorías</w:t>
            </w:r>
          </w:p>
        </w:tc>
        <w:tc>
          <w:tcPr>
            <w:tcW w:type="dxa" w:w="8050"/>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Máximo 240 horas y S/ 12 000; hasta 480 sesiones de 30 minutos. Coste por sesión y disponibilidad por área definidos en la tabla de recursos; reservar al menos 15 % de horas para cada una de tres áreas.</w:t>
            </w:r>
          </w:p>
        </w:tc>
      </w:tr>
      <w:tr>
        <w:trPr>
          <w:cantSplit/>
        </w:trPr>
        <w:tc>
          <w:tcPr>
            <w:tcW w:type="dxa" w:w="19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Escenario actual</w:t>
            </w:r>
          </w:p>
        </w:tc>
        <w:tc>
          <w:tcPr>
            <w:tcW w:type="dxa" w:w="805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Enviar mensajes a los primeros 700 suscriptores elegibles por ID y distribuir las horas como el mes anterior. Ajustar o declarar violaciones antes de la comparación.</w:t>
            </w:r>
          </w:p>
        </w:tc>
      </w:tr>
      <w:tr>
        <w:trPr>
          <w:cantSplit/>
        </w:trPr>
        <w:tc>
          <w:tcPr>
            <w:tcW w:type="dxa" w:w="192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Sensibilidad</w:t>
            </w:r>
          </w:p>
        </w:tc>
        <w:tc>
          <w:tcPr>
            <w:tcW w:type="dxa" w:w="8050"/>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Incremento supuesto de renovación: 0, 0,02 y 0,06; comparar además demanda de tutorías base y aumento del 20 %.</w:t>
            </w:r>
          </w:p>
        </w:tc>
      </w:tr>
    </w:tbl>
    <w:p>
      <w:pPr>
        <w:spacing w:after="20" w:line="276" w:lineRule="auto"/>
        <w:jc w:val="both"/>
      </w:pPr>
    </w:p>
    <w:p>
      <w:pPr>
        <w:spacing w:line="276" w:lineRule="auto"/>
        <w:jc w:val="both"/>
      </w:pPr>
      <w:r>
        <w:rPr>
          <w:rFonts w:ascii="Tahoma" w:hAnsi="Tahoma" w:cs="Tahoma" w:eastAsia="Tahoma"/>
          <w:b w:val="0"/>
          <w:sz w:val="24"/>
        </w:rPr>
        <w:t>Los importes, capacidades y efectos anteriores son supuestos del enunciado, editables en la sensibilidad. Los datos del caso son compatibles con estas restricciones y permiten construir al menos una solución factible; si el equipo encuentra un conflicto, lo registra antes de resolver.</w:t>
      </w:r>
    </w:p>
    <w:p>
      <w:pPr>
        <w:spacing w:line="276" w:lineRule="auto"/>
        <w:jc w:val="both"/>
      </w:pPr>
      <w:r>
        <w:rPr>
          <w:rFonts w:ascii="Tahoma" w:hAnsi="Tahoma" w:cs="Tahoma" w:eastAsia="Tahoma"/>
          <w:sz w:val="24"/>
        </w:rPr>
        <w:br w:type="page"/>
      </w:r>
    </w:p>
    <w:p>
      <w:pPr>
        <w:pStyle w:val="Heading1"/>
        <w:spacing w:line="276" w:lineRule="auto"/>
      </w:pPr>
      <w:r>
        <w:rPr>
          <w:rFonts w:ascii="Tahoma" w:hAnsi="Tahoma" w:cs="Tahoma" w:eastAsia="Tahoma"/>
          <w:sz w:val="24"/>
        </w:rPr>
        <w:t>Desarrollo del caso AulaActiva</w:t>
      </w:r>
    </w:p>
    <w:p>
      <w:pPr>
        <w:pStyle w:val="Heading2"/>
        <w:spacing w:line="276" w:lineRule="auto"/>
      </w:pPr>
      <w:r>
        <w:rPr>
          <w:rFonts w:ascii="Tahoma" w:hAnsi="Tahoma" w:cs="Tahoma" w:eastAsia="Tahoma"/>
          <w:sz w:val="24"/>
        </w:rPr>
        <w:t>Modelo prescriptivo</w:t>
      </w:r>
    </w:p>
    <w:p>
      <w:pPr>
        <w:spacing w:line="276" w:lineRule="auto"/>
        <w:jc w:val="both"/>
      </w:pPr>
      <w:r>
        <w:rPr>
          <w:rFonts w:ascii="Tahoma" w:hAnsi="Tahoma" w:cs="Tahoma" w:eastAsia="Tahoma"/>
          <w:b w:val="0"/>
          <w:sz w:val="24"/>
        </w:rPr>
        <w:t>Asignar sesiones enteras de tutoría y contactos de acompañamiento por área. Maximizar contribución esperada y descontar costes; cada sesión utiliza 0,5 horas. Evitar imputar a la vez un beneficio de retención total y otro de tutoría por el mismo suscriptor.</w:t>
      </w:r>
    </w:p>
    <w:p>
      <w:pPr>
        <w:pStyle w:val="Heading2"/>
        <w:spacing w:line="276" w:lineRule="auto"/>
      </w:pPr>
      <w:r>
        <w:rPr>
          <w:rFonts w:ascii="Tahoma" w:hAnsi="Tahoma" w:cs="Tahoma" w:eastAsia="Tahoma"/>
          <w:sz w:val="24"/>
        </w:rPr>
        <w:t>Anomalías y control</w:t>
      </w:r>
    </w:p>
    <w:p>
      <w:pPr>
        <w:spacing w:line="276" w:lineRule="auto"/>
        <w:jc w:val="both"/>
      </w:pPr>
      <w:r>
        <w:rPr>
          <w:rFonts w:ascii="Tahoma" w:hAnsi="Tahoma" w:cs="Tahoma" w:eastAsia="Tahoma"/>
          <w:b w:val="0"/>
          <w:sz w:val="24"/>
        </w:rPr>
        <w:t>Detectar accesos duplicados, actividad incompatible con las reglas del sistema y tiempos de respuesta extremos. Construir una carta de control del tiempo de primera respuesta por área, con una línea base estable.</w:t>
      </w:r>
    </w:p>
    <w:p>
      <w:pPr>
        <w:pStyle w:val="Heading2"/>
        <w:spacing w:line="276" w:lineRule="auto"/>
      </w:pPr>
      <w:r>
        <w:rPr>
          <w:rFonts w:ascii="Tahoma" w:hAnsi="Tahoma" w:cs="Tahoma" w:eastAsia="Tahoma"/>
          <w:sz w:val="24"/>
        </w:rPr>
        <w:t>Auditoría y documentación</w:t>
      </w:r>
    </w:p>
    <w:p>
      <w:pPr>
        <w:spacing w:line="276" w:lineRule="auto"/>
        <w:jc w:val="both"/>
      </w:pPr>
      <w:r>
        <w:rPr>
          <w:rFonts w:ascii="Tahoma" w:hAnsi="Tahoma" w:cs="Tahoma" w:eastAsia="Tahoma"/>
          <w:b w:val="0"/>
          <w:sz w:val="24"/>
        </w:rPr>
        <w:t>Auditar errores y cobertura por área y canal de ingreso. Trabajar con perfiles de adultos, sin notas académicas sensibles ni decisiones automáticas de exclusión.</w:t>
      </w:r>
    </w:p>
    <w:p>
      <w:pPr>
        <w:spacing w:line="276" w:lineRule="auto"/>
        <w:jc w:val="both"/>
      </w:pPr>
      <w:r>
        <w:rPr>
          <w:rFonts w:ascii="Tahoma" w:hAnsi="Tahoma" w:cs="Tahoma" w:eastAsia="Tahoma"/>
          <w:b w:val="0"/>
          <w:sz w:val="24"/>
        </w:rPr>
        <w:t>Documentos para el asistente: Política de suscripción, tutorías, certificados y atención al usuario. Incluir preguntas sobre servicios no ofrecidos para probar rechazo o abstención.</w:t>
      </w:r>
    </w:p>
    <w:p>
      <w:pPr>
        <w:pStyle w:val="Heading2"/>
        <w:spacing w:line="276" w:lineRule="auto"/>
      </w:pPr>
      <w:r>
        <w:rPr>
          <w:rFonts w:ascii="Tahoma" w:hAnsi="Tahoma" w:cs="Tahoma" w:eastAsia="Tahoma"/>
          <w:sz w:val="24"/>
        </w:rPr>
        <w:t>Producto y recomendación</w:t>
      </w:r>
    </w:p>
    <w:p>
      <w:pPr>
        <w:spacing w:line="276" w:lineRule="auto"/>
        <w:jc w:val="both"/>
      </w:pPr>
      <w:r>
        <w:rPr>
          <w:rFonts w:ascii="Tahoma" w:hAnsi="Tahoma" w:cs="Tahoma" w:eastAsia="Tahoma"/>
          <w:b w:val="0"/>
          <w:sz w:val="24"/>
        </w:rPr>
        <w:t>Panel de riesgo de no renovación, demanda de tutorías, asignación de horas, alertas de actividad y asistente RAG o text-to-SQL con evaluación visible.</w:t>
      </w:r>
    </w:p>
    <w:p>
      <w:pPr>
        <w:pStyle w:val="Heading2"/>
        <w:spacing w:line="276" w:lineRule="auto"/>
      </w:pPr>
      <w:r>
        <w:rPr>
          <w:rFonts w:ascii="Tahoma" w:hAnsi="Tahoma" w:cs="Tahoma" w:eastAsia="Tahoma"/>
          <w:sz w:val="24"/>
        </w:rPr>
        <w:t>Preguntas para la sustentación</w:t>
      </w:r>
    </w:p>
    <w:p>
      <w:pPr>
        <w:pStyle w:val="ListBullet"/>
        <w:spacing w:after="80" w:line="276" w:lineRule="auto"/>
        <w:jc w:val="both"/>
      </w:pPr>
      <w:r>
        <w:rPr>
          <w:rFonts w:ascii="Tahoma" w:hAnsi="Tahoma" w:cs="Tahoma" w:eastAsia="Tahoma"/>
          <w:sz w:val="24"/>
        </w:rPr>
        <w:t>¿El asistente distingue lo que está documentado de lo que no puede responder?</w:t>
      </w:r>
    </w:p>
    <w:p>
      <w:pPr>
        <w:pStyle w:val="ListBullet"/>
        <w:spacing w:after="80" w:line="276" w:lineRule="auto"/>
        <w:jc w:val="both"/>
      </w:pPr>
      <w:r>
        <w:rPr>
          <w:rFonts w:ascii="Tahoma" w:hAnsi="Tahoma" w:cs="Tahoma" w:eastAsia="Tahoma"/>
          <w:sz w:val="24"/>
        </w:rPr>
        <w:t>¿Cuántas solicitudes quedarían sin atender bajo la asignación propuesta?</w:t>
      </w:r>
    </w:p>
    <w:p>
      <w:pPr>
        <w:pStyle w:val="ListBullet"/>
        <w:spacing w:after="80" w:line="276" w:lineRule="auto"/>
        <w:jc w:val="both"/>
      </w:pPr>
      <w:r>
        <w:rPr>
          <w:rFonts w:ascii="Tahoma" w:hAnsi="Tahoma" w:cs="Tahoma" w:eastAsia="Tahoma"/>
          <w:sz w:val="24"/>
        </w:rPr>
        <w:t>¿Cómo cambia el valor esperado si el acompañamiento no tiene efecto incremental?</w:t>
      </w:r>
    </w:p>
    <w:p>
      <w:pPr>
        <w:spacing w:after="20" w:line="276" w:lineRule="auto"/>
        <w:jc w:val="both"/>
      </w:pPr>
    </w:p>
    <w:p>
      <w:pPr>
        <w:spacing w:line="276" w:lineRule="auto"/>
        <w:jc w:val="both"/>
      </w:pPr>
      <w:r>
        <w:rPr>
          <w:rFonts w:ascii="Tahoma" w:hAnsi="Tahoma" w:cs="Tahoma" w:eastAsia="Tahoma"/>
          <w:sz w:val="24"/>
        </w:rPr>
        <w:br w:type="page"/>
      </w:r>
    </w:p>
    <w:p>
      <w:pPr>
        <w:pStyle w:val="Heading1"/>
        <w:spacing w:line="276" w:lineRule="auto"/>
      </w:pPr>
      <w:r>
        <w:rPr>
          <w:rFonts w:ascii="Tahoma" w:hAnsi="Tahoma" w:cs="Tahoma" w:eastAsia="Tahoma"/>
          <w:sz w:val="24"/>
        </w:rPr>
        <w:t>Entregables y verificación del proyecto</w:t>
      </w:r>
    </w:p>
    <w:tbl>
      <w:tblPr>
        <w:tblW w:type="auto" w:w="0"/>
        <w:tblLayout w:type="fixed"/>
        <w:tblLook w:firstColumn="1" w:firstRow="1" w:lastColumn="0" w:lastRow="0" w:noHBand="0" w:noVBand="1" w:val="04A0"/>
      </w:tblPr>
      <w:tblGrid>
        <w:gridCol w:w="2268"/>
        <w:gridCol w:w="7710"/>
      </w:tblGrid>
      <w:tr>
        <w:trPr>
          <w:tblHeader/>
          <w:cantSplit/>
        </w:trPr>
        <w:tc>
          <w:tcPr>
            <w:tcW w:type="dxa" w:w="2268"/>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Entregable</w:t>
            </w:r>
          </w:p>
        </w:tc>
        <w:tc>
          <w:tcPr>
            <w:tcW w:type="dxa" w:w="7710"/>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Contenido que debe poder verificarse</w:t>
            </w:r>
          </w:p>
        </w:tc>
      </w:tr>
      <w:tr>
        <w:trPr>
          <w:cantSplit/>
        </w:trPr>
        <w:tc>
          <w:tcPr>
            <w:tcW w:type="dxa" w:w="226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Colab y repositorio</w:t>
            </w:r>
          </w:p>
        </w:tc>
        <w:tc>
          <w:tcPr>
            <w:tcW w:type="dxa" w:w="771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Notebook ejecutado; dependencias y semillas; carga sin rutas privadas; datos del repositorio; funciones reutilizables; métricas, optimización y pruebas; app.py o equivalente y archivo de dependencias.</w:t>
            </w:r>
          </w:p>
        </w:tc>
      </w:tr>
      <w:tr>
        <w:trPr>
          <w:cantSplit/>
        </w:trPr>
        <w:tc>
          <w:tcPr>
            <w:tcW w:type="dxa" w:w="226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Producto Streamlit</w:t>
            </w:r>
          </w:p>
        </w:tc>
        <w:tc>
          <w:tcPr>
            <w:tcW w:type="dxa" w:w="7710"/>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Enlace funcional con filtros y escenarios, fecha de actualización, unidades y supuestos visibles. Las cifras deben coincidir con Colab para la misma entrada y versión.</w:t>
            </w:r>
          </w:p>
        </w:tc>
      </w:tr>
      <w:tr>
        <w:trPr>
          <w:cantSplit/>
        </w:trPr>
        <w:tc>
          <w:tcPr>
            <w:tcW w:type="dxa" w:w="226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Informe Gerencial</w:t>
            </w:r>
          </w:p>
        </w:tc>
        <w:tc>
          <w:tcPr>
            <w:tcW w:type="dxa" w:w="771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Problema, indicadores, métodos justificados, resultados, recomendación cuantificada, sensibilidad, riesgos y hoja de ruta. Sin código ni capturas de código; tablas y figuras interpretadas con título, unidad y fuente.</w:t>
            </w:r>
          </w:p>
        </w:tc>
      </w:tr>
      <w:tr>
        <w:trPr>
          <w:cantSplit/>
        </w:trPr>
        <w:tc>
          <w:tcPr>
            <w:tcW w:type="dxa" w:w="226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Checkpoint de Semana 14</w:t>
            </w:r>
          </w:p>
        </w:tc>
        <w:tc>
          <w:tcPr>
            <w:tcW w:type="dxa" w:w="7710"/>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Avance integrado de semanas 9 a 14, auditoría y evaluación del asistente; lista de defectos y plan para el despliegue. Puntaje /4 incorporado al informe.</w:t>
            </w:r>
          </w:p>
        </w:tc>
      </w:tr>
      <w:tr>
        <w:trPr>
          <w:cantSplit/>
        </w:trPr>
        <w:tc>
          <w:tcPr>
            <w:tcW w:type="dxa" w:w="226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Sustentación de Semana 16</w:t>
            </w:r>
          </w:p>
        </w:tc>
        <w:tc>
          <w:tcPr>
            <w:tcW w:type="dxa" w:w="771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Pitch con producto desplegado y Colab disponibles; preguntas individuales sobre cualquier parte esencial. Máximo 15 minutos de exposición más preguntas.</w:t>
            </w:r>
          </w:p>
        </w:tc>
      </w:tr>
    </w:tbl>
    <w:p>
      <w:pPr>
        <w:spacing w:after="20" w:line="276" w:lineRule="auto"/>
        <w:jc w:val="both"/>
      </w:pPr>
    </w:p>
    <w:p>
      <w:pPr>
        <w:pStyle w:val="Heading2"/>
        <w:spacing w:line="276" w:lineRule="auto"/>
      </w:pPr>
      <w:r>
        <w:rPr>
          <w:rFonts w:ascii="Tahoma" w:hAnsi="Tahoma" w:cs="Tahoma" w:eastAsia="Tahoma"/>
          <w:sz w:val="24"/>
        </w:rPr>
        <w:t>Comprobaciones antes de publicar</w:t>
      </w:r>
    </w:p>
    <w:p>
      <w:pPr>
        <w:pStyle w:val="ListBullet"/>
        <w:spacing w:after="80" w:line="276" w:lineRule="auto"/>
        <w:jc w:val="both"/>
      </w:pPr>
      <w:r>
        <w:rPr>
          <w:rFonts w:ascii="Tahoma" w:hAnsi="Tahoma" w:cs="Tahoma" w:eastAsia="Tahoma"/>
          <w:sz w:val="24"/>
        </w:rPr>
        <w:t>Cada cifra del informe tiene una tabla o salida rastreable y el producto utiliza la misma versión de datos y parámetros.</w:t>
      </w:r>
    </w:p>
    <w:p>
      <w:pPr>
        <w:pStyle w:val="ListBullet"/>
        <w:spacing w:after="80" w:line="276" w:lineRule="auto"/>
        <w:jc w:val="both"/>
      </w:pPr>
      <w:r>
        <w:rPr>
          <w:rFonts w:ascii="Tahoma" w:hAnsi="Tahoma" w:cs="Tahoma" w:eastAsia="Tahoma"/>
          <w:sz w:val="24"/>
        </w:rPr>
        <w:t>Los conjuntos temporales están separados y las etiquetas tienen seguimiento completo. No se utilizan resultados futuros como predictores.</w:t>
      </w:r>
    </w:p>
    <w:p>
      <w:pPr>
        <w:pStyle w:val="ListBullet"/>
        <w:spacing w:after="80" w:line="276" w:lineRule="auto"/>
        <w:jc w:val="both"/>
      </w:pPr>
      <w:r>
        <w:rPr>
          <w:rFonts w:ascii="Tahoma" w:hAnsi="Tahoma" w:cs="Tahoma" w:eastAsia="Tahoma"/>
          <w:sz w:val="24"/>
        </w:rPr>
        <w:t>La comparación económica muestra coste, beneficio, capacidad y efecto supuesto; no confunde ingresos con utilidad ni riesgo con efecto causal.</w:t>
      </w:r>
    </w:p>
    <w:p>
      <w:pPr>
        <w:pStyle w:val="ListBullet"/>
        <w:spacing w:after="80" w:line="276" w:lineRule="auto"/>
        <w:jc w:val="both"/>
      </w:pPr>
      <w:r>
        <w:rPr>
          <w:rFonts w:ascii="Tahoma" w:hAnsi="Tahoma" w:cs="Tahoma" w:eastAsia="Tahoma"/>
          <w:sz w:val="24"/>
        </w:rPr>
        <w:t>Las soluciones respetan las restricciones; las alertas no se describen como fraude probado y el asistente no inventa hechos fuera de sus fuentes.</w:t>
      </w:r>
    </w:p>
    <w:p>
      <w:pPr>
        <w:pStyle w:val="ListBullet"/>
        <w:spacing w:after="80" w:line="276" w:lineRule="auto"/>
        <w:jc w:val="both"/>
      </w:pPr>
      <w:r>
        <w:rPr>
          <w:rFonts w:ascii="Tahoma" w:hAnsi="Tahoma" w:cs="Tahoma" w:eastAsia="Tahoma"/>
          <w:sz w:val="24"/>
        </w:rPr>
        <w:t>GitHub contiene instrucciones de ejecución y no expone datos personales ni secretos. Cada integrante puede explicar su trabajo.</w:t>
      </w:r>
    </w:p>
    <w:sectPr w:rsidR="00FC693F" w:rsidRPr="0006063C" w:rsidSect="00034616">
      <w:footerReference w:type="default" r:id="rId9"/>
      <w:headerReference w:type="default" r:id="rId10"/>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76" w:lineRule="auto"/>
      <w:jc w:val="right"/>
    </w:pPr>
    <w:r>
      <w:rPr>
        <w:rFonts w:ascii="Tahoma" w:hAnsi="Tahoma" w:cs="Tahoma" w:eastAsia="Tahoma"/>
        <w:sz w:val="18"/>
      </w:rPr>
      <w:t xml:space="preserve">TECSUP · AEI · PMD2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76" w:lineRule="auto"/>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Tahoma" w:hAnsi="Tahoma" w:cs="Tahoma" w:eastAsia="Tahom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ahoma" w:hAnsi="Tahoma" w:cs="Tahoma" w:eastAsia="Tahom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ahoma" w:hAnsi="Tahoma" w:cs="Tahoma" w:eastAsia="Tahom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ahoma" w:hAnsi="Tahoma" w:cs="Tahoma" w:eastAsia="Tahom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ahoma" w:hAnsi="Tahoma" w:cs="Tahoma" w:eastAsia="Tahom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ahoma" w:hAnsi="Tahoma" w:cs="Tahoma" w:eastAsia="Tahoma"/>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ahoma" w:hAnsi="Tahoma" w:cs="Tahoma" w:eastAsia="Tahom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ahoma" w:hAnsi="Tahoma" w:cs="Tahoma" w:eastAsia="Tahom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ahoma" w:hAnsi="Tahoma" w:cs="Tahoma" w:eastAsia="Tahom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ahoma" w:hAnsi="Tahoma" w:cs="Tahoma" w:eastAsia="Tahom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ahoma" w:hAnsi="Tahoma" w:cs="Tahoma" w:eastAsia="Tahoma"/>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ahoma" w:hAnsi="Tahoma" w:cs="Tahoma" w:eastAsia="Tahoma"/>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ahoma" w:hAnsi="Tahoma" w:cs="Tahoma" w:eastAsia="Tahom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ahoma" w:hAnsi="Tahoma" w:cs="Tahoma" w:eastAsia="Tahoma"/>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ahoma" w:hAnsi="Tahoma" w:cs="Tahoma" w:eastAsia="Tahoma"/>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ahoma" w:hAnsi="Tahoma" w:cs="Tahoma" w:eastAsia="Tahoma"/>
    </w:rPr>
  </w:style>
  <w:style w:type="paragraph" w:styleId="BodyText">
    <w:name w:val="Body Text"/>
    <w:basedOn w:val="Normal"/>
    <w:link w:val="BodyTextChar"/>
    <w:uiPriority w:val="99"/>
    <w:unhideWhenUsed/>
    <w:rsid w:val="00AA1D8D"/>
    <w:pPr>
      <w:spacing w:after="120"/>
    </w:pPr>
    <w:rPr>
      <w:rFonts w:ascii="Tahoma" w:hAnsi="Tahoma" w:cs="Tahoma" w:eastAsia="Tahoma"/>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ahoma" w:hAnsi="Tahoma" w:cs="Tahoma" w:eastAsia="Tahoma"/>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ahoma" w:hAnsi="Tahoma" w:cs="Tahoma" w:eastAsia="Tahoma"/>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ahoma" w:hAnsi="Tahoma" w:cs="Tahoma" w:eastAsia="Tahoma"/>
    </w:rPr>
  </w:style>
  <w:style w:type="paragraph" w:styleId="List2">
    <w:name w:val="List 2"/>
    <w:basedOn w:val="Normal"/>
    <w:uiPriority w:val="99"/>
    <w:unhideWhenUsed/>
    <w:rsid w:val="00326F90"/>
    <w:pPr>
      <w:ind w:left="720" w:hanging="360"/>
      <w:contextualSpacing/>
    </w:pPr>
    <w:rPr>
      <w:rFonts w:ascii="Tahoma" w:hAnsi="Tahoma" w:cs="Tahoma" w:eastAsia="Tahoma"/>
    </w:rPr>
  </w:style>
  <w:style w:type="paragraph" w:styleId="List3">
    <w:name w:val="List 3"/>
    <w:basedOn w:val="Normal"/>
    <w:uiPriority w:val="99"/>
    <w:unhideWhenUsed/>
    <w:rsid w:val="00326F90"/>
    <w:pPr>
      <w:ind w:left="1080" w:hanging="360"/>
      <w:contextualSpacing/>
    </w:pPr>
    <w:rPr>
      <w:rFonts w:ascii="Tahoma" w:hAnsi="Tahoma" w:cs="Tahoma" w:eastAsia="Tahoma"/>
    </w:rPr>
  </w:style>
  <w:style w:type="paragraph" w:styleId="ListBullet">
    <w:name w:val="List Bullet"/>
    <w:basedOn w:val="Normal"/>
    <w:uiPriority w:val="99"/>
    <w:unhideWhenUsed/>
    <w:rsid w:val="00326F90"/>
    <w:pPr>
      <w:numPr>
        <w:numId w:val="1"/>
      </w:numPr>
      <w:contextualSpacing/>
    </w:pPr>
    <w:rPr>
      <w:rFonts w:ascii="Tahoma" w:hAnsi="Tahoma" w:cs="Tahoma" w:eastAsia="Tahoma"/>
    </w:rPr>
  </w:style>
  <w:style w:type="paragraph" w:styleId="ListBullet2">
    <w:name w:val="List Bullet 2"/>
    <w:basedOn w:val="Normal"/>
    <w:uiPriority w:val="99"/>
    <w:unhideWhenUsed/>
    <w:rsid w:val="00326F90"/>
    <w:pPr>
      <w:numPr>
        <w:numId w:val="2"/>
      </w:numPr>
      <w:contextualSpacing/>
    </w:pPr>
    <w:rPr>
      <w:rFonts w:ascii="Tahoma" w:hAnsi="Tahoma" w:cs="Tahoma" w:eastAsia="Tahoma"/>
    </w:rPr>
  </w:style>
  <w:style w:type="paragraph" w:styleId="ListBullet3">
    <w:name w:val="List Bullet 3"/>
    <w:basedOn w:val="Normal"/>
    <w:uiPriority w:val="99"/>
    <w:unhideWhenUsed/>
    <w:rsid w:val="00326F90"/>
    <w:pPr>
      <w:numPr>
        <w:numId w:val="3"/>
      </w:numPr>
      <w:contextualSpacing/>
    </w:pPr>
    <w:rPr>
      <w:rFonts w:ascii="Tahoma" w:hAnsi="Tahoma" w:cs="Tahoma" w:eastAsia="Tahoma"/>
    </w:rPr>
  </w:style>
  <w:style w:type="paragraph" w:styleId="ListNumber">
    <w:name w:val="List Number"/>
    <w:basedOn w:val="Normal"/>
    <w:uiPriority w:val="99"/>
    <w:unhideWhenUsed/>
    <w:rsid w:val="00326F90"/>
    <w:pPr>
      <w:numPr>
        <w:numId w:val="5"/>
      </w:numPr>
      <w:contextualSpacing/>
    </w:pPr>
    <w:rPr>
      <w:rFonts w:ascii="Tahoma" w:hAnsi="Tahoma" w:cs="Tahoma" w:eastAsia="Tahoma"/>
    </w:rPr>
  </w:style>
  <w:style w:type="paragraph" w:styleId="ListNumber2">
    <w:name w:val="List Number 2"/>
    <w:basedOn w:val="Normal"/>
    <w:uiPriority w:val="99"/>
    <w:unhideWhenUsed/>
    <w:rsid w:val="0029639D"/>
    <w:pPr>
      <w:numPr>
        <w:numId w:val="6"/>
      </w:numPr>
      <w:contextualSpacing/>
    </w:pPr>
    <w:rPr>
      <w:rFonts w:ascii="Tahoma" w:hAnsi="Tahoma" w:cs="Tahoma" w:eastAsia="Tahoma"/>
    </w:rPr>
  </w:style>
  <w:style w:type="paragraph" w:styleId="ListNumber3">
    <w:name w:val="List Number 3"/>
    <w:basedOn w:val="Normal"/>
    <w:uiPriority w:val="99"/>
    <w:unhideWhenUsed/>
    <w:rsid w:val="0029639D"/>
    <w:pPr>
      <w:numPr>
        <w:numId w:val="7"/>
      </w:numPr>
      <w:contextualSpacing/>
    </w:pPr>
    <w:rPr>
      <w:rFonts w:ascii="Tahoma" w:hAnsi="Tahoma" w:cs="Tahoma" w:eastAsia="Tahoma"/>
    </w:rPr>
  </w:style>
  <w:style w:type="paragraph" w:styleId="ListContinue">
    <w:name w:val="List Continue"/>
    <w:basedOn w:val="Normal"/>
    <w:uiPriority w:val="99"/>
    <w:unhideWhenUsed/>
    <w:rsid w:val="0029639D"/>
    <w:pPr>
      <w:spacing w:after="120"/>
      <w:ind w:left="360"/>
      <w:contextualSpacing/>
    </w:pPr>
    <w:rPr>
      <w:rFonts w:ascii="Tahoma" w:hAnsi="Tahoma" w:cs="Tahoma" w:eastAsia="Tahoma"/>
    </w:rPr>
  </w:style>
  <w:style w:type="paragraph" w:styleId="ListContinue2">
    <w:name w:val="List Continue 2"/>
    <w:basedOn w:val="Normal"/>
    <w:uiPriority w:val="99"/>
    <w:unhideWhenUsed/>
    <w:rsid w:val="0029639D"/>
    <w:pPr>
      <w:spacing w:after="120"/>
      <w:ind w:left="720"/>
      <w:contextualSpacing/>
    </w:pPr>
    <w:rPr>
      <w:rFonts w:ascii="Tahoma" w:hAnsi="Tahoma" w:cs="Tahoma" w:eastAsia="Tahoma"/>
    </w:rPr>
  </w:style>
  <w:style w:type="paragraph" w:styleId="ListContinue3">
    <w:name w:val="List Continue 3"/>
    <w:basedOn w:val="Normal"/>
    <w:uiPriority w:val="99"/>
    <w:unhideWhenUsed/>
    <w:rsid w:val="0029639D"/>
    <w:pPr>
      <w:spacing w:after="120"/>
      <w:ind w:left="1080"/>
      <w:contextualSpacing/>
    </w:pPr>
    <w:rPr>
      <w:rFonts w:ascii="Tahoma" w:hAnsi="Tahoma" w:cs="Tahoma" w:eastAsia="Tahom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ahoma" w:hAnsi="Tahoma" w:cs="Tahoma" w:eastAsia="Tahoma"/>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ahoma" w:hAnsi="Tahoma" w:cs="Tahoma" w:eastAsia="Tahoma"/>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ahoma" w:hAnsi="Tahoma" w:cs="Tahoma" w:eastAsia="Tahoma"/>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ahoma" w:hAnsi="Tahoma" w:cs="Tahoma" w:eastAsia="Tahoma"/>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ahoma" w:hAnsi="Tahoma" w:cs="Tahoma" w:eastAsia="Tahoma"/>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