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76" w:lineRule="auto"/>
      </w:pPr>
      <w:r>
        <w:rPr>
          <w:rFonts w:ascii="Tahoma" w:hAnsi="Tahoma" w:cs="Tahoma" w:eastAsia="Tahoma"/>
          <w:sz w:val="32"/>
        </w:rPr>
        <w:t>Rúbrica analítica del Proyecto Integrador 2</w:t>
      </w:r>
    </w:p>
    <w:p>
      <w:pPr>
        <w:spacing w:line="276" w:lineRule="auto"/>
        <w:jc w:val="both"/>
      </w:pPr>
      <w:r>
        <w:rPr>
          <w:rFonts w:ascii="Tahoma" w:hAnsi="Tahoma" w:cs="Tahoma" w:eastAsia="Tahoma"/>
          <w:b/>
          <w:sz w:val="24"/>
        </w:rPr>
        <w:t>Analítica Empresarial Integrada · TECSUP 2026-II · LC8 · Semana 16</w:t>
      </w:r>
    </w:p>
    <w:p>
      <w:pPr>
        <w:spacing w:line="276" w:lineRule="auto"/>
        <w:jc w:val="both"/>
      </w:pPr>
      <w:r>
        <w:rPr>
          <w:rFonts w:ascii="Tahoma" w:hAnsi="Tahoma" w:cs="Tahoma" w:eastAsia="Tahoma"/>
          <w:b w:val="0"/>
          <w:sz w:val="24"/>
        </w:rPr>
        <w:t>Docente: Pilar Rocío Sayán Mejía</w:t>
      </w:r>
    </w:p>
    <w:p>
      <w:pPr>
        <w:spacing w:line="276" w:lineRule="auto"/>
        <w:jc w:val="both"/>
      </w:pPr>
      <w:r>
        <w:rPr>
          <w:rFonts w:ascii="Tahoma" w:hAnsi="Tahoma" w:cs="Tahoma" w:eastAsia="Tahoma"/>
          <w:b w:val="0"/>
          <w:sz w:val="24"/>
        </w:rPr>
        <w:t>Esta rúbrica evalúa los cinco casos con los mismos criterios, integrando las semanas 9 a 15. Tiene tres componentes y cuatro niveles de logro. El checkpoint corresponde a la Semana 14 y se incorpora al Informe Gerencial.</w:t>
      </w:r>
    </w:p>
    <w:tbl>
      <w:tblPr>
        <w:tblW w:type="auto" w:w="0"/>
        <w:tblLayout w:type="fixed"/>
        <w:tblLook w:firstColumn="1" w:firstRow="1" w:lastColumn="0" w:lastRow="0" w:noHBand="0" w:noVBand="1" w:val="04A0"/>
      </w:tblPr>
      <w:tblGrid>
        <w:gridCol w:w="4535"/>
        <w:gridCol w:w="1134"/>
        <w:gridCol w:w="9241"/>
      </w:tblGrid>
      <w:tr>
        <w:trPr>
          <w:tblHeader/>
          <w:cantSplit/>
        </w:trPr>
        <w:tc>
          <w:tcPr>
            <w:tcW w:type="dxa" w:w="4535"/>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Componente</w:t>
            </w:r>
          </w:p>
        </w:tc>
        <w:tc>
          <w:tcPr>
            <w:tcW w:type="dxa" w:w="1134"/>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Puntaje</w:t>
            </w:r>
          </w:p>
        </w:tc>
        <w:tc>
          <w:tcPr>
            <w:tcW w:type="dxa" w:w="9241"/>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Aplicación</w:t>
            </w:r>
          </w:p>
        </w:tc>
      </w:tr>
      <w:tr>
        <w:trPr>
          <w:cantSplit/>
        </w:trPr>
        <w:tc>
          <w:tcPr>
            <w:tcW w:type="dxa" w:w="4535"/>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Código Colab y producto desplegado</w:t>
            </w:r>
          </w:p>
        </w:tc>
        <w:tc>
          <w:tcPr>
            <w:tcW w:type="dxa" w:w="113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20</w:t>
            </w:r>
          </w:p>
        </w:tc>
        <w:tc>
          <w:tcPr>
            <w:tcW w:type="dxa" w:w="9241"/>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Grupal. Predicción, prescripción, control, gobierno, asistente y reproducibilidad.</w:t>
            </w:r>
          </w:p>
        </w:tc>
      </w:tr>
      <w:tr>
        <w:trPr>
          <w:cantSplit/>
        </w:trPr>
        <w:tc>
          <w:tcPr>
            <w:tcW w:type="dxa" w:w="4535"/>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Informe Gerencial</w:t>
            </w:r>
          </w:p>
        </w:tc>
        <w:tc>
          <w:tcPr>
            <w:tcW w:type="dxa" w:w="1134"/>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20</w:t>
            </w:r>
          </w:p>
        </w:tc>
        <w:tc>
          <w:tcPr>
            <w:tcW w:type="dxa" w:w="9241"/>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Grupal. Entrega final /16 + checkpoint de Semana 14 /4.</w:t>
            </w:r>
          </w:p>
        </w:tc>
      </w:tr>
      <w:tr>
        <w:trPr>
          <w:cantSplit/>
        </w:trPr>
        <w:tc>
          <w:tcPr>
            <w:tcW w:type="dxa" w:w="4535"/>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Sustentación</w:t>
            </w:r>
          </w:p>
        </w:tc>
        <w:tc>
          <w:tcPr>
            <w:tcW w:type="dxa" w:w="113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20</w:t>
            </w:r>
          </w:p>
        </w:tc>
        <w:tc>
          <w:tcPr>
            <w:tcW w:type="dxa" w:w="9241"/>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Por estudiante. Exposición grupal /7 + réplicas individuales /13.</w:t>
            </w:r>
          </w:p>
        </w:tc>
      </w:tr>
    </w:tbl>
    <w:p>
      <w:pPr>
        <w:spacing w:after="20" w:line="276" w:lineRule="auto"/>
        <w:jc w:val="both"/>
      </w:pPr>
    </w:p>
    <w:p>
      <w:pPr>
        <w:spacing w:line="276" w:lineRule="auto"/>
        <w:jc w:val="both"/>
      </w:pPr>
      <w:r>
        <w:rPr>
          <w:rFonts w:ascii="Tahoma" w:hAnsi="Tahoma" w:cs="Tahoma" w:eastAsia="Tahoma"/>
          <w:b/>
          <w:sz w:val="24"/>
        </w:rPr>
        <w:t>Nota PMD2 por estudiante = (Código Colab y producto + Informe Gerencial + Sustentación del estudiante) / 3.</w:t>
      </w:r>
    </w:p>
    <w:p>
      <w:pPr>
        <w:pStyle w:val="Heading2"/>
        <w:spacing w:line="276" w:lineRule="auto"/>
      </w:pPr>
      <w:r>
        <w:rPr>
          <w:rFonts w:ascii="Tahoma" w:hAnsi="Tahoma" w:cs="Tahoma" w:eastAsia="Tahoma"/>
          <w:sz w:val="24"/>
        </w:rPr>
        <w:t>Aplicación de los niveles</w:t>
      </w:r>
    </w:p>
    <w:p>
      <w:pPr>
        <w:spacing w:line="276" w:lineRule="auto"/>
        <w:jc w:val="both"/>
      </w:pPr>
      <w:r>
        <w:rPr>
          <w:rFonts w:ascii="Tahoma" w:hAnsi="Tahoma" w:cs="Tahoma" w:eastAsia="Tahoma"/>
          <w:b w:val="0"/>
          <w:sz w:val="24"/>
        </w:rPr>
        <w:t>Asignar el nivel cuya descripción mejor corresponde a la evidencia observada. Cuando una capacidad reúne varios elementos, el nivel Destacado exige todos; el nivel Esperado admite que un elemento esté incompleto, siempre que no invalide a los demás; con dos o más elementos incompletos corresponde En proceso. Cada capacidad se puntúa una vez; no se duplican descuentos por la misma evidencia dentro de esa capacidad. Un resultado desfavorable no equivale a un método incorrecto: no se exige alta exactitud, mejora sobre el ingenuo, beneficio positivo ni ausencia total de alucinaciones; se exige evaluación honesta y una interpretación defendible.</w:t>
      </w:r>
    </w:p>
    <w:tbl>
      <w:tblPr>
        <w:tblW w:type="auto" w:w="0"/>
        <w:tblLayout w:type="fixed"/>
        <w:tblLook w:firstColumn="1" w:firstRow="1" w:lastColumn="0" w:lastRow="0" w:noHBand="0" w:noVBand="1" w:val="04A0"/>
      </w:tblPr>
      <w:tblGrid>
        <w:gridCol w:w="2438"/>
        <w:gridCol w:w="3118"/>
        <w:gridCol w:w="3118"/>
        <w:gridCol w:w="3118"/>
        <w:gridCol w:w="3118"/>
      </w:tblGrid>
      <w:tr>
        <w:trPr>
          <w:tblHeader/>
          <w:cantSplit/>
        </w:trPr>
        <w:tc>
          <w:tcPr>
            <w:tcW w:type="dxa" w:w="2438"/>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Máximo</w:t>
            </w:r>
          </w:p>
        </w:tc>
        <w:tc>
          <w:tcPr>
            <w:tcW w:type="dxa" w:w="3118"/>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Destacado</w:t>
            </w:r>
          </w:p>
        </w:tc>
        <w:tc>
          <w:tcPr>
            <w:tcW w:type="dxa" w:w="3118"/>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Esperado</w:t>
            </w:r>
          </w:p>
        </w:tc>
        <w:tc>
          <w:tcPr>
            <w:tcW w:type="dxa" w:w="3118"/>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En proceso</w:t>
            </w:r>
          </w:p>
        </w:tc>
        <w:tc>
          <w:tcPr>
            <w:tcW w:type="dxa" w:w="3118"/>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No logrado</w:t>
            </w:r>
          </w:p>
        </w:tc>
      </w:tr>
      <w:tr>
        <w:trPr>
          <w:cantSplit/>
        </w:trPr>
        <w:tc>
          <w:tcPr>
            <w:tcW w:type="dxa" w:w="243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5</w:t>
            </w:r>
          </w:p>
        </w:tc>
        <w:tc>
          <w:tcPr>
            <w:tcW w:type="dxa" w:w="311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5</w:t>
            </w:r>
          </w:p>
        </w:tc>
        <w:tc>
          <w:tcPr>
            <w:tcW w:type="dxa" w:w="311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4</w:t>
            </w:r>
          </w:p>
        </w:tc>
        <w:tc>
          <w:tcPr>
            <w:tcW w:type="dxa" w:w="311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2</w:t>
            </w:r>
          </w:p>
        </w:tc>
        <w:tc>
          <w:tcPr>
            <w:tcW w:type="dxa" w:w="311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0</w:t>
            </w:r>
          </w:p>
        </w:tc>
      </w:tr>
      <w:tr>
        <w:trPr>
          <w:cantSplit/>
        </w:trPr>
        <w:tc>
          <w:tcPr>
            <w:tcW w:type="dxa" w:w="243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4</w:t>
            </w:r>
          </w:p>
        </w:tc>
        <w:tc>
          <w:tcPr>
            <w:tcW w:type="dxa" w:w="311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4</w:t>
            </w:r>
          </w:p>
        </w:tc>
        <w:tc>
          <w:tcPr>
            <w:tcW w:type="dxa" w:w="311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3</w:t>
            </w:r>
          </w:p>
        </w:tc>
        <w:tc>
          <w:tcPr>
            <w:tcW w:type="dxa" w:w="311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2</w:t>
            </w:r>
          </w:p>
        </w:tc>
        <w:tc>
          <w:tcPr>
            <w:tcW w:type="dxa" w:w="311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0</w:t>
            </w:r>
          </w:p>
        </w:tc>
      </w:tr>
      <w:tr>
        <w:trPr>
          <w:cantSplit/>
        </w:trPr>
        <w:tc>
          <w:tcPr>
            <w:tcW w:type="dxa" w:w="243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3</w:t>
            </w:r>
          </w:p>
        </w:tc>
        <w:tc>
          <w:tcPr>
            <w:tcW w:type="dxa" w:w="311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3</w:t>
            </w:r>
          </w:p>
        </w:tc>
        <w:tc>
          <w:tcPr>
            <w:tcW w:type="dxa" w:w="311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2</w:t>
            </w:r>
          </w:p>
        </w:tc>
        <w:tc>
          <w:tcPr>
            <w:tcW w:type="dxa" w:w="311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1</w:t>
            </w:r>
          </w:p>
        </w:tc>
        <w:tc>
          <w:tcPr>
            <w:tcW w:type="dxa" w:w="311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0</w:t>
            </w:r>
          </w:p>
        </w:tc>
      </w:tr>
      <w:tr>
        <w:trPr>
          <w:cantSplit/>
        </w:trPr>
        <w:tc>
          <w:tcPr>
            <w:tcW w:type="dxa" w:w="243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2</w:t>
            </w:r>
          </w:p>
        </w:tc>
        <w:tc>
          <w:tcPr>
            <w:tcW w:type="dxa" w:w="311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2</w:t>
            </w:r>
          </w:p>
        </w:tc>
        <w:tc>
          <w:tcPr>
            <w:tcW w:type="dxa" w:w="311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1,5</w:t>
            </w:r>
          </w:p>
        </w:tc>
        <w:tc>
          <w:tcPr>
            <w:tcW w:type="dxa" w:w="311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1</w:t>
            </w:r>
          </w:p>
        </w:tc>
        <w:tc>
          <w:tcPr>
            <w:tcW w:type="dxa" w:w="311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0</w:t>
            </w:r>
          </w:p>
        </w:tc>
      </w:tr>
    </w:tbl>
    <w:p>
      <w:pPr>
        <w:spacing w:after="20" w:line="276" w:lineRule="auto"/>
        <w:jc w:val="both"/>
      </w:pPr>
    </w:p>
    <w:p>
      <w:pPr>
        <w:pStyle w:val="Heading2"/>
        <w:spacing w:line="276" w:lineRule="auto"/>
      </w:pPr>
      <w:r>
        <w:rPr>
          <w:rFonts w:ascii="Tahoma" w:hAnsi="Tahoma" w:cs="Tahoma" w:eastAsia="Tahoma"/>
          <w:sz w:val="24"/>
        </w:rPr>
        <w:t>Autoría y alcance</w:t>
      </w:r>
    </w:p>
    <w:p>
      <w:pPr>
        <w:spacing w:line="276" w:lineRule="auto"/>
        <w:jc w:val="both"/>
      </w:pPr>
      <w:r>
        <w:rPr>
          <w:rFonts w:ascii="Tahoma" w:hAnsi="Tahoma" w:cs="Tahoma" w:eastAsia="Tahoma"/>
          <w:b w:val="0"/>
          <w:sz w:val="24"/>
        </w:rPr>
        <w:t>El equipo redacta con palabras propias. Cada integrante puede recibir preguntas sobre cualquier bloque. Si no explica una parte atribuida a su trabajo, se aplica No logrado en la capacidad de dominio individual, salvo que la explique con evidencia en la misma sustentación. Revisar la autoría grupal requiere evidencia específica, no solo un detector de IA.</w:t>
      </w:r>
    </w:p>
    <w:p>
      <w:pPr>
        <w:spacing w:line="276" w:lineRule="auto"/>
        <w:jc w:val="both"/>
      </w:pPr>
      <w:r>
        <w:rPr>
          <w:rFonts w:ascii="Tahoma" w:hAnsi="Tahoma" w:cs="Tahoma" w:eastAsia="Tahoma"/>
          <w:b w:val="0"/>
          <w:sz w:val="24"/>
        </w:rPr>
        <w:t>La sustentación reparte 7 puntos grupales y 13 individuales, con un máximo de 15 minutos de exposición. Las penalizaciones por retraso siguen la regla institucional aplicable de AEI.</w:t>
      </w:r>
    </w:p>
    <w:p>
      <w:pPr>
        <w:spacing w:line="276" w:lineRule="auto"/>
        <w:jc w:val="both"/>
      </w:pPr>
      <w:r>
        <w:rPr>
          <w:rFonts w:ascii="Tahoma" w:hAnsi="Tahoma" w:cs="Tahoma" w:eastAsia="Tahoma"/>
          <w:sz w:val="24"/>
        </w:rPr>
        <w:br w:type="page"/>
      </w:r>
    </w:p>
    <w:p>
      <w:pPr>
        <w:pStyle w:val="Heading1"/>
        <w:spacing w:line="276" w:lineRule="auto"/>
      </w:pPr>
      <w:r>
        <w:rPr>
          <w:rFonts w:ascii="Tahoma" w:hAnsi="Tahoma" w:cs="Tahoma" w:eastAsia="Tahoma"/>
          <w:sz w:val="24"/>
        </w:rPr>
        <w:t>Componente 1 Código Colab y producto desplegado</w:t>
      </w:r>
    </w:p>
    <w:p>
      <w:pPr>
        <w:spacing w:line="276" w:lineRule="auto"/>
        <w:jc w:val="both"/>
      </w:pPr>
      <w:r>
        <w:rPr>
          <w:rFonts w:ascii="Tahoma" w:hAnsi="Tahoma" w:cs="Tahoma" w:eastAsia="Tahoma"/>
          <w:b w:val="0"/>
          <w:sz w:val="24"/>
        </w:rPr>
        <w:t>Puntaje grupal /20. El notebook y el producto forman un único componente. Los cinco casos tienen igual exigencia; se evalúan las unidades y restricciones particulares de cada enunciado.</w:t>
      </w:r>
    </w:p>
    <w:tbl>
      <w:tblPr>
        <w:tblW w:type="auto" w:w="0"/>
        <w:tblLayout w:type="fixed"/>
        <w:tblLook w:firstColumn="1" w:firstRow="1" w:lastColumn="0" w:lastRow="0" w:noHBand="0" w:noVBand="1" w:val="04A0"/>
      </w:tblPr>
      <w:tblGrid>
        <w:gridCol w:w="2551"/>
        <w:gridCol w:w="3458"/>
        <w:gridCol w:w="3061"/>
        <w:gridCol w:w="2948"/>
        <w:gridCol w:w="2891"/>
      </w:tblGrid>
      <w:tr>
        <w:trPr>
          <w:tblHeader/>
          <w:cantSplit/>
        </w:trPr>
        <w:tc>
          <w:tcPr>
            <w:tcW w:type="dxa" w:w="2551"/>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Capacidad</w:t>
            </w:r>
          </w:p>
        </w:tc>
        <w:tc>
          <w:tcPr>
            <w:tcW w:type="dxa" w:w="3458"/>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Logro destacado</w:t>
            </w:r>
          </w:p>
        </w:tc>
        <w:tc>
          <w:tcPr>
            <w:tcW w:type="dxa" w:w="3061"/>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Logro esperado</w:t>
            </w:r>
          </w:p>
        </w:tc>
        <w:tc>
          <w:tcPr>
            <w:tcW w:type="dxa" w:w="2948"/>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En proceso</w:t>
            </w:r>
          </w:p>
        </w:tc>
        <w:tc>
          <w:tcPr>
            <w:tcW w:type="dxa" w:w="2891"/>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No logrado</w:t>
            </w:r>
          </w:p>
        </w:tc>
      </w:tr>
      <w:tr>
        <w:trPr>
          <w:cantSplit/>
        </w:trPr>
        <w:tc>
          <w:tcPr>
            <w:tcW w:type="dxa" w:w="2551"/>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1 Predice riesgo y demanda con evaluación honesta</w:t>
              <w:br/>
              <w:t>Máximo 5 puntos</w:t>
            </w:r>
          </w:p>
        </w:tc>
        <w:tc>
          <w:tcPr>
            <w:tcW w:type="dxa" w:w="345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5 puntos</w:t>
              <w:br/>
              <w:t>Define churn, RFM y CLV; valida riesgo con datos temporalmente disponibles y clientes separados; elige umbral por valor. Compara pronóstico estadístico e ingenuo con backtesting y error de negocio.</w:t>
            </w:r>
          </w:p>
        </w:tc>
        <w:tc>
          <w:tcPr>
            <w:tcW w:type="dxa" w:w="3061"/>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4 puntos</w:t>
              <w:br/>
              <w:t>Incluye churn y pronóstico con evaluaciones correctas y base ingenua; falta profundidad en una interpretación económica o en la documentación temporal.</w:t>
            </w:r>
          </w:p>
        </w:tc>
        <w:tc>
          <w:tcPr>
            <w:tcW w:type="dxa" w:w="294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2 puntos</w:t>
              <w:br/>
              <w:t>Ejecuta ambos análisis, pero hay evaluación insuficiente, umbral arbitrario o tratamiento incompleto de la temporalidad que limita su utilidad.</w:t>
            </w:r>
          </w:p>
        </w:tc>
        <w:tc>
          <w:tcPr>
            <w:tcW w:type="dxa" w:w="2891"/>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0 puntos</w:t>
              <w:br/>
              <w:t>Falta churn o pronóstico, hay fuga de información que invalida la evaluación o no hay comparación ingenua utilizable.</w:t>
            </w:r>
          </w:p>
        </w:tc>
      </w:tr>
      <w:tr>
        <w:trPr>
          <w:cantSplit/>
        </w:trPr>
        <w:tc>
          <w:tcPr>
            <w:tcW w:type="dxa" w:w="2551"/>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2 Optimiza recursos y controla operaciones</w:t>
              <w:br/>
              <w:t>Máximo 5 puntos</w:t>
            </w:r>
          </w:p>
        </w:tc>
        <w:tc>
          <w:tcPr>
            <w:tcW w:type="dxa" w:w="345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5 puntos</w:t>
              <w:br/>
              <w:t>PuLP utiliza objetivo y restricciones del caso; verifica factibilidad y compara con la política actual. Incluye sensibilidad, detección de anomalías y carta de control adecuada con protocolo de alerta.</w:t>
            </w:r>
          </w:p>
        </w:tc>
        <w:tc>
          <w:tcPr>
            <w:tcW w:type="dxa" w:w="3061"/>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4 puntos</w:t>
              <w:br/>
              <w:t>Optimización, comparación y control son correctos; una sensibilidad, supuesto de la carta o acción de alerta queda poco documentada.</w:t>
            </w:r>
          </w:p>
        </w:tc>
        <w:tc>
          <w:tcPr>
            <w:tcW w:type="dxa" w:w="294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2 puntos</w:t>
              <w:br/>
              <w:t>La asignación o el control se ejecutan con restricciones incompletas, comparación desigual o límites poco justificados.</w:t>
            </w:r>
          </w:p>
        </w:tc>
        <w:tc>
          <w:tcPr>
            <w:tcW w:type="dxa" w:w="2891"/>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0 puntos</w:t>
              <w:br/>
              <w:t>Falta optimización o control operativo esencial; la solución viola restricciones sin reconocerlo o las alertas carecen de base verificable.</w:t>
            </w:r>
          </w:p>
        </w:tc>
      </w:tr>
      <w:tr>
        <w:trPr>
          <w:cantSplit/>
        </w:trPr>
        <w:tc>
          <w:tcPr>
            <w:tcW w:type="dxa" w:w="2551"/>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3 Audita el modelo y gobierna los datos</w:t>
              <w:br/>
              <w:t>Máximo 3 puntos</w:t>
            </w:r>
          </w:p>
        </w:tc>
        <w:tc>
          <w:tcPr>
            <w:tcW w:type="dxa" w:w="345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3 puntos</w:t>
              <w:br/>
              <w:t>Incluye contrato, linaje, roles, acceso y retención; audita desempeño por subgrupos con denominadores, interpreta SHAP y justifica aplicabilidad normativa con fuentes oficiales verificables.</w:t>
            </w:r>
          </w:p>
        </w:tc>
        <w:tc>
          <w:tcPr>
            <w:tcW w:type="dxa" w:w="3061"/>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2 puntos</w:t>
              <w:br/>
              <w:t>Presenta auditoría, SHAP y gobierno coherentes; una obligación, comparación o medida de control se desarrolla parcialmente.</w:t>
            </w:r>
          </w:p>
        </w:tc>
        <w:tc>
          <w:tcPr>
            <w:tcW w:type="dxa" w:w="294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1 punto</w:t>
              <w:br/>
              <w:t>Presenta una lista genérica, SHAP sin interpretación o comparaciones de grupos sin tamaño ni limitaciones.</w:t>
            </w:r>
          </w:p>
        </w:tc>
        <w:tc>
          <w:tcPr>
            <w:tcW w:type="dxa" w:w="2891"/>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0 puntos</w:t>
              <w:br/>
              <w:t>No hay auditoría o explicabilidad verificable, se inventan obligaciones o el producto expone secretos o datos no autorizados.</w:t>
            </w:r>
          </w:p>
        </w:tc>
      </w:tr>
      <w:tr>
        <w:trPr>
          <w:cantSplit/>
        </w:trPr>
        <w:tc>
          <w:tcPr>
            <w:tcW w:type="dxa" w:w="2551"/>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4 Implementa y evalúa un asistente analítico</w:t>
              <w:br/>
              <w:t>Máximo 3 puntos</w:t>
            </w:r>
          </w:p>
        </w:tc>
        <w:tc>
          <w:tcPr>
            <w:tcW w:type="dxa" w:w="345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3 puntos</w:t>
              <w:br/>
              <w:t>Text-to-SQL o RAG usa las fuentes del caso; evalúa al menos 20 preguntas fijas, incluidos rechazos y ambigüedades. Reporta acierto, respuestas no sustentadas y controles de lectura o citas.</w:t>
            </w:r>
          </w:p>
        </w:tc>
        <w:tc>
          <w:tcPr>
            <w:tcW w:type="dxa" w:w="3061"/>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2 puntos</w:t>
              <w:br/>
              <w:t>Asistente funcional y evaluación trazable con preguntas de rechazo; un indicador o control queda poco documentado.</w:t>
            </w:r>
          </w:p>
        </w:tc>
        <w:tc>
          <w:tcPr>
            <w:tcW w:type="dxa" w:w="294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1 punto</w:t>
              <w:br/>
              <w:t>Hay una demostración parcial o pocas pruebas; no se mide adecuadamente la alucinación o se omiten casos de abstención.</w:t>
            </w:r>
          </w:p>
        </w:tc>
        <w:tc>
          <w:tcPr>
            <w:tcW w:type="dxa" w:w="2891"/>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0 puntos</w:t>
              <w:br/>
              <w:t>No existe un asistente verificable o se presentan respuestas preparadas o pruebas no ejecutadas como resultados de un LLM.</w:t>
            </w:r>
          </w:p>
        </w:tc>
      </w:tr>
      <w:tr>
        <w:trPr>
          <w:cantSplit/>
        </w:trPr>
        <w:tc>
          <w:tcPr>
            <w:tcW w:type="dxa" w:w="2551"/>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5 Integra Colab reproducible y Streamlit desplegado</w:t>
              <w:br/>
              <w:t>Máximo 4 puntos</w:t>
            </w:r>
          </w:p>
        </w:tc>
        <w:tc>
          <w:tcPr>
            <w:tcW w:type="dxa" w:w="345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4 puntos</w:t>
              <w:br/>
              <w:t>Ejecutar todo funciona desde un entorno limpio; datos, dependencias y semillas son trazables. Streamlit está desplegado, integra decisiones y coincide con Colab; comentarios y Markdown explican el propósito con palabras propias.</w:t>
            </w:r>
          </w:p>
        </w:tc>
        <w:tc>
          <w:tcPr>
            <w:tcW w:type="dxa" w:w="3061"/>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3 puntos</w:t>
              <w:br/>
              <w:t>Colab y producto desplegado funcionan y concilian; hay una omisión menor de documentación o de experiencia de uso.</w:t>
            </w:r>
          </w:p>
        </w:tc>
        <w:tc>
          <w:tcPr>
            <w:tcW w:type="dxa" w:w="294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2 puntos</w:t>
              <w:br/>
              <w:t>Requiere intervención manual o muestra inconsistencias parciales; la app integra solo parte del análisis o la explicación es genérica.</w:t>
            </w:r>
          </w:p>
        </w:tc>
        <w:tc>
          <w:tcPr>
            <w:tcW w:type="dxa" w:w="2891"/>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0 puntos</w:t>
              <w:br/>
              <w:t>No hay Colab utilizable o producto desplegado verificable, o las cifras del producto contradicen el análisis sin explicación.</w:t>
            </w:r>
          </w:p>
        </w:tc>
      </w:tr>
    </w:tbl>
    <w:p>
      <w:pPr>
        <w:spacing w:after="20" w:line="276" w:lineRule="auto"/>
        <w:jc w:val="both"/>
      </w:pPr>
    </w:p>
    <w:p>
      <w:pPr>
        <w:spacing w:line="276" w:lineRule="auto"/>
        <w:jc w:val="both"/>
      </w:pPr>
      <w:r>
        <w:rPr>
          <w:rFonts w:ascii="Tahoma" w:hAnsi="Tahoma" w:cs="Tahoma" w:eastAsia="Tahoma"/>
          <w:b/>
          <w:sz w:val="24"/>
        </w:rPr>
        <w:t>Total máximo: 5 + 5 + 3 + 3 + 4 = 20. Entrega: Colab ejecutado, datos o fuentes autorizadas, dependencias, código de Streamlit, enlace desplegado y batería de evaluación del asistente. Un respaldo local ayuda a diagnosticar problemas, pero no sustituye la exigencia de producto desplegado.</w:t>
      </w:r>
    </w:p>
    <w:p>
      <w:pPr>
        <w:spacing w:line="276" w:lineRule="auto"/>
        <w:jc w:val="both"/>
      </w:pPr>
      <w:r>
        <w:rPr>
          <w:rFonts w:ascii="Tahoma" w:hAnsi="Tahoma" w:cs="Tahoma" w:eastAsia="Tahoma"/>
          <w:sz w:val="24"/>
        </w:rPr>
        <w:br w:type="page"/>
      </w:r>
    </w:p>
    <w:p>
      <w:pPr>
        <w:pStyle w:val="Heading1"/>
        <w:spacing w:line="276" w:lineRule="auto"/>
      </w:pPr>
      <w:r>
        <w:rPr>
          <w:rFonts w:ascii="Tahoma" w:hAnsi="Tahoma" w:cs="Tahoma" w:eastAsia="Tahoma"/>
          <w:sz w:val="24"/>
        </w:rPr>
        <w:t>Componente 2 Informe Gerencial</w:t>
      </w:r>
    </w:p>
    <w:p>
      <w:pPr>
        <w:spacing w:line="276" w:lineRule="auto"/>
        <w:jc w:val="both"/>
      </w:pPr>
      <w:r>
        <w:rPr>
          <w:rFonts w:ascii="Tahoma" w:hAnsi="Tahoma" w:cs="Tahoma" w:eastAsia="Tahoma"/>
          <w:b w:val="0"/>
          <w:sz w:val="24"/>
        </w:rPr>
        <w:t>Entrega final de Semana 16 /16. Explicar el análisis para una audiencia gerencial mediante texto, diagramas, tablas y figuras interpretadas. No incluir Python, SQL, capturas de código ni una transcripción del notebook.</w:t>
      </w:r>
    </w:p>
    <w:tbl>
      <w:tblPr>
        <w:tblW w:type="auto" w:w="0"/>
        <w:tblLayout w:type="fixed"/>
        <w:tblLook w:firstColumn="1" w:firstRow="1" w:lastColumn="0" w:lastRow="0" w:noHBand="0" w:noVBand="1" w:val="04A0"/>
      </w:tblPr>
      <w:tblGrid>
        <w:gridCol w:w="2551"/>
        <w:gridCol w:w="3458"/>
        <w:gridCol w:w="3061"/>
        <w:gridCol w:w="2948"/>
        <w:gridCol w:w="2891"/>
      </w:tblGrid>
      <w:tr>
        <w:trPr>
          <w:tblHeader/>
          <w:cantSplit/>
        </w:trPr>
        <w:tc>
          <w:tcPr>
            <w:tcW w:type="dxa" w:w="2551"/>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Capacidad</w:t>
            </w:r>
          </w:p>
        </w:tc>
        <w:tc>
          <w:tcPr>
            <w:tcW w:type="dxa" w:w="3458"/>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Logro destacado</w:t>
            </w:r>
          </w:p>
        </w:tc>
        <w:tc>
          <w:tcPr>
            <w:tcW w:type="dxa" w:w="3061"/>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Logro esperado</w:t>
            </w:r>
          </w:p>
        </w:tc>
        <w:tc>
          <w:tcPr>
            <w:tcW w:type="dxa" w:w="2948"/>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En proceso</w:t>
            </w:r>
          </w:p>
        </w:tc>
        <w:tc>
          <w:tcPr>
            <w:tcW w:type="dxa" w:w="2891"/>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No logrado</w:t>
            </w:r>
          </w:p>
        </w:tc>
      </w:tr>
      <w:tr>
        <w:trPr>
          <w:cantSplit/>
        </w:trPr>
        <w:tc>
          <w:tcPr>
            <w:tcW w:type="dxa" w:w="2551"/>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1 Delimita el problema y la decisión</w:t>
              <w:br/>
              <w:t>Máximo 3 puntos</w:t>
            </w:r>
          </w:p>
        </w:tc>
        <w:tc>
          <w:tcPr>
            <w:tcW w:type="dxa" w:w="345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3 puntos</w:t>
              <w:br/>
              <w:t>Identifica decisión, objetivo, unidad de análisis, origen de datos, periodo, KPI, presupuesto y capacidad. Distingue los datos del caso de los supuestos del enunciado.</w:t>
            </w:r>
          </w:p>
        </w:tc>
        <w:tc>
          <w:tcPr>
            <w:tcW w:type="dxa" w:w="3061"/>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2 puntos</w:t>
              <w:br/>
              <w:t>Problema y decisión claros; falta precisar un alcance, indicador o supuesto.</w:t>
            </w:r>
          </w:p>
        </w:tc>
        <w:tc>
          <w:tcPr>
            <w:tcW w:type="dxa" w:w="294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1 punto</w:t>
              <w:br/>
              <w:t>Expone un tema general sin delimitar población, horizonte o decisión cuantificable.</w:t>
            </w:r>
          </w:p>
        </w:tc>
        <w:tc>
          <w:tcPr>
            <w:tcW w:type="dxa" w:w="2891"/>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0 puntos</w:t>
              <w:br/>
              <w:t>No hay problema coherente con el caso o presenta supuestos como hechos comprobados.</w:t>
            </w:r>
          </w:p>
        </w:tc>
      </w:tr>
      <w:tr>
        <w:trPr>
          <w:cantSplit/>
        </w:trPr>
        <w:tc>
          <w:tcPr>
            <w:tcW w:type="dxa" w:w="2551"/>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2 Interpreta predicción y prescripción</w:t>
              <w:br/>
              <w:t>Máximo 4 puntos</w:t>
            </w:r>
          </w:p>
        </w:tc>
        <w:tc>
          <w:tcPr>
            <w:tcW w:type="dxa" w:w="345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4 puntos</w:t>
              <w:br/>
              <w:t>Explica churn, umbral y valor económico; compara pronósticos con base ingenua y traduce errores. Presenta optimización factible frente a la política actual y sensibilidad sin doble contabilización.</w:t>
            </w:r>
          </w:p>
        </w:tc>
        <w:tc>
          <w:tcPr>
            <w:tcW w:type="dxa" w:w="3061"/>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3 puntos</w:t>
              <w:br/>
              <w:t>Métodos y resultados coherentes; una interpretación económica, incertidumbre o sensibilidad es parcial.</w:t>
            </w:r>
          </w:p>
        </w:tc>
        <w:tc>
          <w:tcPr>
            <w:tcW w:type="dxa" w:w="294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2 puntos</w:t>
              <w:br/>
              <w:t>Describe técnicas con resultados incompletos o compara escenarios con supuestos diferentes sin aclararlo.</w:t>
            </w:r>
          </w:p>
        </w:tc>
        <w:tc>
          <w:tcPr>
            <w:tcW w:type="dxa" w:w="2891"/>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0 puntos</w:t>
              <w:br/>
              <w:t>Falta un bloque esencial o las cifras contradicen Colab; presenta riesgo de churn como efecto causal de la campaña.</w:t>
            </w:r>
          </w:p>
        </w:tc>
      </w:tr>
      <w:tr>
        <w:trPr>
          <w:cantSplit/>
        </w:trPr>
        <w:tc>
          <w:tcPr>
            <w:tcW w:type="dxa" w:w="2551"/>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3 Explica control gobierno y evaluación de IA</w:t>
              <w:br/>
              <w:t>Máximo 3 puntos</w:t>
            </w:r>
          </w:p>
        </w:tc>
        <w:tc>
          <w:tcPr>
            <w:tcW w:type="dxa" w:w="345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3 puntos</w:t>
              <w:br/>
              <w:t>Interpreta alertas y carta de control; documenta sesgo, SHAP, roles y aplicabilidad normativa. Expone acierto, alucinación y fallos del asistente con evidencia y medidas de control.</w:t>
            </w:r>
          </w:p>
        </w:tc>
        <w:tc>
          <w:tcPr>
            <w:tcW w:type="dxa" w:w="3061"/>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2 puntos</w:t>
              <w:br/>
              <w:t>Cubre los bloques con evidencia; un riesgo o acción de mitigación queda poco desarrollado.</w:t>
            </w:r>
          </w:p>
        </w:tc>
        <w:tc>
          <w:tcPr>
            <w:tcW w:type="dxa" w:w="294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1 punto</w:t>
              <w:br/>
              <w:t>Enumera controles genéricos o métricas sin fuente ni interpretación suficiente.</w:t>
            </w:r>
          </w:p>
        </w:tc>
        <w:tc>
          <w:tcPr>
            <w:tcW w:type="dxa" w:w="2891"/>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0 puntos</w:t>
              <w:br/>
              <w:t>Omite riesgos y evaluación de IA o afirma cumplimiento normativo y ausencia de sesgo sin evidencia.</w:t>
            </w:r>
          </w:p>
        </w:tc>
      </w:tr>
      <w:tr>
        <w:trPr>
          <w:cantSplit/>
        </w:trPr>
        <w:tc>
          <w:tcPr>
            <w:tcW w:type="dxa" w:w="2551"/>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4 Recomienda una acción y una hoja de ruta</w:t>
              <w:br/>
              <w:t>Máximo 4 puntos</w:t>
            </w:r>
          </w:p>
        </w:tc>
        <w:tc>
          <w:tcPr>
            <w:tcW w:type="dxa" w:w="345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4 puntos</w:t>
              <w:br/>
              <w:t>Propone quién actúa, cuándo, con qué recursos y beneficio neto esperado bajo supuestos. Incluye sensibilidad, riesgos, monitoreo, responsables y hoja de ruta por etapas; distingue predicción de causalidad.</w:t>
            </w:r>
          </w:p>
        </w:tc>
        <w:tc>
          <w:tcPr>
            <w:tcW w:type="dxa" w:w="3061"/>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3 puntos</w:t>
              <w:br/>
              <w:t>Recomendación y hoja de ruta coherentes y cuantificadas; una responsabilidad, escenario o indicador de seguimiento queda parcial.</w:t>
            </w:r>
          </w:p>
        </w:tc>
        <w:tc>
          <w:tcPr>
            <w:tcW w:type="dxa" w:w="294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2 puntos</w:t>
              <w:br/>
              <w:t>Recomendación general, sin coste neto o sin prioridades claras de implementación.</w:t>
            </w:r>
          </w:p>
        </w:tc>
        <w:tc>
          <w:tcPr>
            <w:tcW w:type="dxa" w:w="2891"/>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0 puntos</w:t>
              <w:br/>
              <w:t>No hay una decisión sustentada, se promete un resultado causal no demostrado o la acción viola restricciones del caso.</w:t>
            </w:r>
          </w:p>
        </w:tc>
      </w:tr>
      <w:tr>
        <w:trPr>
          <w:cantSplit/>
        </w:trPr>
        <w:tc>
          <w:tcPr>
            <w:tcW w:type="dxa" w:w="2551"/>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5 Comunica sin código y con fuentes verificables</w:t>
              <w:br/>
              <w:t>Máximo 2 puntos</w:t>
            </w:r>
          </w:p>
        </w:tc>
        <w:tc>
          <w:tcPr>
            <w:tcW w:type="dxa" w:w="345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2 puntos</w:t>
              <w:br/>
              <w:t>Informe gerencial claro y original, sin código; tablas y figuras seleccionadas tienen título, unidades y fuente. Las cifras concilian con Colab y Streamlit; referencias reales.</w:t>
            </w:r>
          </w:p>
        </w:tc>
        <w:tc>
          <w:tcPr>
            <w:tcW w:type="dxa" w:w="3061"/>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1,5 puntos</w:t>
              <w:br/>
              <w:t>Texto legible, sin código y con cifras consistentes; errores menores de presentación o referencias.</w:t>
            </w:r>
          </w:p>
        </w:tc>
        <w:tc>
          <w:tcPr>
            <w:tcW w:type="dxa" w:w="294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1 punto</w:t>
              <w:br/>
              <w:t>Predominan salidas crudas, referencias incompletas o explicaciones que no sirven a una audiencia gerencial.</w:t>
            </w:r>
          </w:p>
        </w:tc>
        <w:tc>
          <w:tcPr>
            <w:tcW w:type="dxa" w:w="2891"/>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0 puntos</w:t>
              <w:br/>
              <w:t>Es copia del notebook, contiene código como cuerpo del informe, referencias inventadas o cifras sin respaldo.</w:t>
            </w:r>
          </w:p>
        </w:tc>
      </w:tr>
    </w:tbl>
    <w:p>
      <w:pPr>
        <w:spacing w:after="20" w:line="276" w:lineRule="auto"/>
        <w:jc w:val="both"/>
      </w:pPr>
    </w:p>
    <w:p>
      <w:pPr>
        <w:spacing w:line="276" w:lineRule="auto"/>
        <w:jc w:val="both"/>
      </w:pPr>
      <w:r>
        <w:rPr>
          <w:rFonts w:ascii="Tahoma" w:hAnsi="Tahoma" w:cs="Tahoma" w:eastAsia="Tahoma"/>
          <w:b/>
          <w:sz w:val="24"/>
        </w:rPr>
        <w:t>Entrega final: 3 + 4 + 3 + 4 + 2 = 16. Añadir el puntaje ya obtenido en el checkpoint de Semana 14, máximo 4. Total Informe Gerencial: 20 puntos. El checkpoint no se vuelve a calificar ni constituye un cuarto componente.</w:t>
      </w:r>
    </w:p>
    <w:p>
      <w:pPr>
        <w:spacing w:line="276" w:lineRule="auto"/>
        <w:jc w:val="both"/>
      </w:pPr>
      <w:r>
        <w:rPr>
          <w:rFonts w:ascii="Tahoma" w:hAnsi="Tahoma" w:cs="Tahoma" w:eastAsia="Tahoma"/>
          <w:sz w:val="24"/>
        </w:rPr>
        <w:br w:type="page"/>
      </w:r>
    </w:p>
    <w:p>
      <w:pPr>
        <w:pStyle w:val="Heading1"/>
        <w:spacing w:line="276" w:lineRule="auto"/>
      </w:pPr>
      <w:r>
        <w:rPr>
          <w:rFonts w:ascii="Tahoma" w:hAnsi="Tahoma" w:cs="Tahoma" w:eastAsia="Tahoma"/>
          <w:sz w:val="24"/>
        </w:rPr>
        <w:t>Componente 3 Sustentación</w:t>
      </w:r>
    </w:p>
    <w:p>
      <w:pPr>
        <w:spacing w:line="276" w:lineRule="auto"/>
        <w:jc w:val="both"/>
      </w:pPr>
      <w:r>
        <w:rPr>
          <w:rFonts w:ascii="Tahoma" w:hAnsi="Tahoma" w:cs="Tahoma" w:eastAsia="Tahoma"/>
          <w:b w:val="0"/>
          <w:sz w:val="24"/>
        </w:rPr>
        <w:t>Exposición del equipo: máximo 15 minutos, seguida de preguntas. Capacidades 1 y 2: puntaje grupal común /7. Capacidades 3, 4 y 5: respuestas propias de cada estudiante /13. La presentación debe demostrar Streamlit y permitir rastrear resultados en Colab.</w:t>
      </w:r>
    </w:p>
    <w:tbl>
      <w:tblPr>
        <w:tblW w:type="auto" w:w="0"/>
        <w:tblLayout w:type="fixed"/>
        <w:tblLook w:firstColumn="1" w:firstRow="1" w:lastColumn="0" w:lastRow="0" w:noHBand="0" w:noVBand="1" w:val="04A0"/>
      </w:tblPr>
      <w:tblGrid>
        <w:gridCol w:w="2551"/>
        <w:gridCol w:w="3458"/>
        <w:gridCol w:w="3061"/>
        <w:gridCol w:w="2948"/>
        <w:gridCol w:w="2891"/>
      </w:tblGrid>
      <w:tr>
        <w:trPr>
          <w:tblHeader/>
          <w:cantSplit/>
        </w:trPr>
        <w:tc>
          <w:tcPr>
            <w:tcW w:type="dxa" w:w="2551"/>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Capacidad</w:t>
            </w:r>
          </w:p>
        </w:tc>
        <w:tc>
          <w:tcPr>
            <w:tcW w:type="dxa" w:w="3458"/>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Logro destacado</w:t>
            </w:r>
          </w:p>
        </w:tc>
        <w:tc>
          <w:tcPr>
            <w:tcW w:type="dxa" w:w="3061"/>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Logro esperado</w:t>
            </w:r>
          </w:p>
        </w:tc>
        <w:tc>
          <w:tcPr>
            <w:tcW w:type="dxa" w:w="2948"/>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En proceso</w:t>
            </w:r>
          </w:p>
        </w:tc>
        <w:tc>
          <w:tcPr>
            <w:tcW w:type="dxa" w:w="2891"/>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No logrado</w:t>
            </w:r>
          </w:p>
        </w:tc>
      </w:tr>
      <w:tr>
        <w:trPr>
          <w:cantSplit/>
        </w:trPr>
        <w:tc>
          <w:tcPr>
            <w:tcW w:type="dxa" w:w="2551"/>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1 Expone la decisión y demuestra evidencia grupal</w:t>
              <w:br/>
              <w:t>Máximo 4 puntos</w:t>
            </w:r>
          </w:p>
        </w:tc>
        <w:tc>
          <w:tcPr>
            <w:tcW w:type="dxa" w:w="345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4 puntos</w:t>
              <w:br/>
              <w:t>El equipo conecta problema, predicción, optimización, control, gobierno e IA con una recomendación cuantificada y muestra el producto desplegado y evidencia en Colab.</w:t>
            </w:r>
          </w:p>
        </w:tc>
        <w:tc>
          <w:tcPr>
            <w:tcW w:type="dxa" w:w="3061"/>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3 puntos</w:t>
              <w:br/>
              <w:t>Hilo claro y demostración funcional; una conexión entre evidencia y recomendación es débil.</w:t>
            </w:r>
          </w:p>
        </w:tc>
        <w:tc>
          <w:tcPr>
            <w:tcW w:type="dxa" w:w="294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2 puntos</w:t>
              <w:br/>
              <w:t>Predomina una lista de técnicas o lectura, con demostración parcial de la decisión.</w:t>
            </w:r>
          </w:p>
        </w:tc>
        <w:tc>
          <w:tcPr>
            <w:tcW w:type="dxa" w:w="2891"/>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0 puntos</w:t>
              <w:br/>
              <w:t>No presenta una decisión coherente ni una demostración verificable.</w:t>
            </w:r>
          </w:p>
        </w:tc>
      </w:tr>
      <w:tr>
        <w:trPr>
          <w:cantSplit/>
        </w:trPr>
        <w:tc>
          <w:tcPr>
            <w:tcW w:type="dxa" w:w="2551"/>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2 Organiza recursos participación y tiempo grupal</w:t>
              <w:br/>
              <w:t>Máximo 3 puntos</w:t>
            </w:r>
          </w:p>
        </w:tc>
        <w:tc>
          <w:tcPr>
            <w:tcW w:type="dxa" w:w="345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3 puntos</w:t>
              <w:br/>
              <w:t>Todos participan; app y Colab están listos, transiciones fluidas y gráficos legibles; concluye en 15 minutos sin leer un guion.</w:t>
            </w:r>
          </w:p>
        </w:tc>
        <w:tc>
          <w:tcPr>
            <w:tcW w:type="dxa" w:w="3061"/>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2 puntos</w:t>
              <w:br/>
              <w:t>Participación y tiempo adecuados con detalles menores de coordinación.</w:t>
            </w:r>
          </w:p>
        </w:tc>
        <w:tc>
          <w:tcPr>
            <w:tcW w:type="dxa" w:w="294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1 punto</w:t>
              <w:br/>
              <w:t>Pierde tiempo configurando, omite participantes o depende de lectura de notas.</w:t>
            </w:r>
          </w:p>
        </w:tc>
        <w:tc>
          <w:tcPr>
            <w:tcW w:type="dxa" w:w="2891"/>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0 puntos</w:t>
              <w:br/>
              <w:t>Presentación incompleta o recursos no disponibles impiden demostrar el trabajo.</w:t>
            </w:r>
          </w:p>
        </w:tc>
      </w:tr>
      <w:tr>
        <w:trPr>
          <w:cantSplit/>
        </w:trPr>
        <w:tc>
          <w:tcPr>
            <w:tcW w:type="dxa" w:w="2551"/>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3 Localiza evidencia individual</w:t>
              <w:br/>
              <w:t>Máximo 4 puntos</w:t>
            </w:r>
          </w:p>
        </w:tc>
        <w:tc>
          <w:tcPr>
            <w:tcW w:type="dxa" w:w="345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4 puntos</w:t>
              <w:br/>
              <w:t>Ante preguntas, ubica y muestra o ejecuta la celda, gráfico, parámetro o prueba pertinente y explica su vínculo con la app, incluso fuera de la sección que expuso.</w:t>
            </w:r>
          </w:p>
        </w:tc>
        <w:tc>
          <w:tcPr>
            <w:tcW w:type="dxa" w:w="3061"/>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3 puntos</w:t>
              <w:br/>
              <w:t>Ubica y explica la evidencia con una indicación menor.</w:t>
            </w:r>
          </w:p>
        </w:tc>
        <w:tc>
          <w:tcPr>
            <w:tcW w:type="dxa" w:w="294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2 puntos</w:t>
              <w:br/>
              <w:t>Requiere varias indicaciones o solo reconoce la sección que presentó.</w:t>
            </w:r>
          </w:p>
        </w:tc>
        <w:tc>
          <w:tcPr>
            <w:tcW w:type="dxa" w:w="2891"/>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0 puntos</w:t>
              <w:br/>
              <w:t>No localiza evidencia o la cifra o prueba mencionada no existe.</w:t>
            </w:r>
          </w:p>
        </w:tc>
      </w:tr>
      <w:tr>
        <w:trPr>
          <w:cantSplit/>
        </w:trPr>
        <w:tc>
          <w:tcPr>
            <w:tcW w:type="dxa" w:w="2551"/>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4 Demuestra dominio técnico individual</w:t>
              <w:br/>
              <w:t>Máximo 5 puntos</w:t>
            </w:r>
          </w:p>
        </w:tc>
        <w:tc>
          <w:tcPr>
            <w:tcW w:type="dxa" w:w="345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5 puntos</w:t>
              <w:br/>
              <w:t>Explica temporalidad y fuga, churn y valor económico, base ingenua, restricciones de PuLP, carta de control, SHAP y evaluación del asistente con ejemplos del caso.</w:t>
            </w:r>
          </w:p>
        </w:tc>
        <w:tc>
          <w:tcPr>
            <w:tcW w:type="dxa" w:w="3061"/>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4 puntos</w:t>
              <w:br/>
              <w:t>Responde correctamente la mayoría de preguntas; una explicación es imprecisa.</w:t>
            </w:r>
          </w:p>
        </w:tc>
        <w:tc>
          <w:tcPr>
            <w:tcW w:type="dxa" w:w="294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2 puntos</w:t>
              <w:br/>
              <w:t>Domina solo su parte, repite respuestas memorizadas o confunde métodos esenciales.</w:t>
            </w:r>
          </w:p>
        </w:tc>
        <w:tc>
          <w:tcPr>
            <w:tcW w:type="dxa" w:w="2891"/>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0 puntos</w:t>
              <w:br/>
              <w:t>No explica conceptos, código o resultados esenciales atribuidos al proyecto.</w:t>
            </w:r>
          </w:p>
        </w:tc>
      </w:tr>
      <w:tr>
        <w:trPr>
          <w:cantSplit/>
        </w:trPr>
        <w:tc>
          <w:tcPr>
            <w:tcW w:type="dxa" w:w="2551"/>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5 Defiende la recomendación individual</w:t>
              <w:br/>
              <w:t>Máximo 4 puntos</w:t>
            </w:r>
          </w:p>
        </w:tc>
        <w:tc>
          <w:tcPr>
            <w:tcW w:type="dxa" w:w="345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4 puntos</w:t>
              <w:br/>
              <w:t>Sostiene la decisión con beneficio neto, capacidad y sensibilidad; reconoce supuestos causales, limitaciones, riesgos de IA y condiciones para revisar o detener la recomendación.</w:t>
            </w:r>
          </w:p>
        </w:tc>
        <w:tc>
          <w:tcPr>
            <w:tcW w:type="dxa" w:w="3061"/>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3 puntos</w:t>
              <w:br/>
              <w:t>Defiende con evidencia y reconoce límites; una objeción queda incompleta.</w:t>
            </w:r>
          </w:p>
        </w:tc>
        <w:tc>
          <w:tcPr>
            <w:tcW w:type="dxa" w:w="294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2 puntos</w:t>
              <w:br/>
              <w:t>Repite el informe sin conectar cifras o confunde predicción, asociación y efecto causal.</w:t>
            </w:r>
          </w:p>
        </w:tc>
        <w:tc>
          <w:tcPr>
            <w:tcW w:type="dxa" w:w="2891"/>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0 puntos</w:t>
              <w:br/>
              <w:t>No sostiene la decisión o contradice resultados y restricciones.</w:t>
            </w:r>
          </w:p>
        </w:tc>
      </w:tr>
    </w:tbl>
    <w:p>
      <w:pPr>
        <w:spacing w:after="20" w:line="276" w:lineRule="auto"/>
        <w:jc w:val="both"/>
      </w:pPr>
    </w:p>
    <w:p>
      <w:pPr>
        <w:spacing w:line="276" w:lineRule="auto"/>
        <w:jc w:val="both"/>
      </w:pPr>
      <w:r>
        <w:rPr>
          <w:rFonts w:ascii="Tahoma" w:hAnsi="Tahoma" w:cs="Tahoma" w:eastAsia="Tahoma"/>
          <w:b/>
          <w:sz w:val="24"/>
        </w:rPr>
        <w:t>Máximo grupal: 4 + 3 = 7. Máximo individual: 4 + 5 + 4 = 13. Sustentación de cada estudiante = puntaje grupal obtenido + puntaje individual obtenido. Total máximo: 20. No asignar a todo el grupo una única nota de réplicas.</w:t>
      </w:r>
    </w:p>
    <w:p>
      <w:pPr>
        <w:spacing w:line="276" w:lineRule="auto"/>
        <w:jc w:val="both"/>
      </w:pPr>
      <w:r>
        <w:rPr>
          <w:rFonts w:ascii="Tahoma" w:hAnsi="Tahoma" w:cs="Tahoma" w:eastAsia="Tahoma"/>
          <w:sz w:val="24"/>
        </w:rPr>
        <w:br w:type="page"/>
      </w:r>
    </w:p>
    <w:p>
      <w:pPr>
        <w:pStyle w:val="Heading1"/>
        <w:spacing w:line="276" w:lineRule="auto"/>
      </w:pPr>
      <w:r>
        <w:rPr>
          <w:rFonts w:ascii="Tahoma" w:hAnsi="Tahoma" w:cs="Tahoma" w:eastAsia="Tahoma"/>
          <w:sz w:val="24"/>
        </w:rPr>
        <w:t>Checkpoint de Semana 14</w:t>
      </w:r>
    </w:p>
    <w:p>
      <w:pPr>
        <w:spacing w:line="276" w:lineRule="auto"/>
        <w:jc w:val="both"/>
      </w:pPr>
      <w:r>
        <w:rPr>
          <w:rFonts w:ascii="Tahoma" w:hAnsi="Tahoma" w:cs="Tahoma" w:eastAsia="Tahoma"/>
          <w:b w:val="0"/>
          <w:sz w:val="24"/>
        </w:rPr>
        <w:t>Puntaje grupal /4. Revisa la integración de semanas 9 a 14 y prepara el despliegue de Semana 15. El total del checkpoint es de 4 puntos, repartidos en cuatro criterios de un punto.</w:t>
      </w:r>
    </w:p>
    <w:tbl>
      <w:tblPr>
        <w:tblW w:type="auto" w:w="0"/>
        <w:tblLayout w:type="fixed"/>
        <w:tblLook w:firstColumn="1" w:firstRow="1" w:lastColumn="0" w:lastRow="0" w:noHBand="0" w:noVBand="1" w:val="04A0"/>
      </w:tblPr>
      <w:tblGrid>
        <w:gridCol w:w="2551"/>
        <w:gridCol w:w="4535"/>
        <w:gridCol w:w="2608"/>
        <w:gridCol w:w="2608"/>
        <w:gridCol w:w="2608"/>
      </w:tblGrid>
      <w:tr>
        <w:trPr>
          <w:tblHeader/>
          <w:cantSplit/>
        </w:trPr>
        <w:tc>
          <w:tcPr>
            <w:tcW w:type="dxa" w:w="2551"/>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Criterio</w:t>
            </w:r>
          </w:p>
        </w:tc>
        <w:tc>
          <w:tcPr>
            <w:tcW w:type="dxa" w:w="4535"/>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Evidencia para 1 punto</w:t>
            </w:r>
          </w:p>
        </w:tc>
        <w:tc>
          <w:tcPr>
            <w:tcW w:type="dxa" w:w="2608"/>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0,75 puntos</w:t>
            </w:r>
          </w:p>
        </w:tc>
        <w:tc>
          <w:tcPr>
            <w:tcW w:type="dxa" w:w="2608"/>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0,50 puntos</w:t>
            </w:r>
          </w:p>
        </w:tc>
        <w:tc>
          <w:tcPr>
            <w:tcW w:type="dxa" w:w="2608"/>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0 puntos</w:t>
            </w:r>
          </w:p>
        </w:tc>
      </w:tr>
      <w:tr>
        <w:trPr>
          <w:cantSplit/>
        </w:trPr>
        <w:tc>
          <w:tcPr>
            <w:tcW w:type="dxa" w:w="2551"/>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Predicción y decisión</w:t>
            </w:r>
          </w:p>
        </w:tc>
        <w:tc>
          <w:tcPr>
            <w:tcW w:type="dxa" w:w="4535"/>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Churn y pronóstico evaluados; umbral económico y base ingenua; corte temporal y cifras trazables.</w:t>
            </w:r>
          </w:p>
        </w:tc>
        <w:tc>
          <w:tcPr>
            <w:tcW w:type="dxa" w:w="2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Evidencia correcta; falta un detalle menor que no cambia la conclusión.</w:t>
            </w:r>
          </w:p>
        </w:tc>
        <w:tc>
          <w:tcPr>
            <w:tcW w:type="dxa" w:w="2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Avance parcial verificable; faltan resultados o justificaciones relevantes.</w:t>
            </w:r>
          </w:p>
        </w:tc>
        <w:tc>
          <w:tcPr>
            <w:tcW w:type="dxa" w:w="2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No presentado, no verificable o metodológicamente inválido.</w:t>
            </w:r>
          </w:p>
        </w:tc>
      </w:tr>
      <w:tr>
        <w:trPr>
          <w:cantSplit/>
        </w:trPr>
        <w:tc>
          <w:tcPr>
            <w:tcW w:type="dxa" w:w="2551"/>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Optimización y control</w:t>
            </w:r>
          </w:p>
        </w:tc>
        <w:tc>
          <w:tcPr>
            <w:tcW w:type="dxa" w:w="4535"/>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Solución factible comparada con la política actual; anomalías, carta de control y acciones de alerta.</w:t>
            </w:r>
          </w:p>
        </w:tc>
        <w:tc>
          <w:tcPr>
            <w:tcW w:type="dxa" w:w="260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Evidencia correcta; falta un detalle menor que no cambia la conclusión.</w:t>
            </w:r>
          </w:p>
        </w:tc>
        <w:tc>
          <w:tcPr>
            <w:tcW w:type="dxa" w:w="260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Avance parcial verificable; faltan resultados o justificaciones relevantes.</w:t>
            </w:r>
          </w:p>
        </w:tc>
        <w:tc>
          <w:tcPr>
            <w:tcW w:type="dxa" w:w="260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No presentado, no verificable o metodológicamente inválido.</w:t>
            </w:r>
          </w:p>
        </w:tc>
      </w:tr>
      <w:tr>
        <w:trPr>
          <w:cantSplit/>
        </w:trPr>
        <w:tc>
          <w:tcPr>
            <w:tcW w:type="dxa" w:w="2551"/>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Gobierno y explicabilidad</w:t>
            </w:r>
          </w:p>
        </w:tc>
        <w:tc>
          <w:tcPr>
            <w:tcW w:type="dxa" w:w="4535"/>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Auditoría por subgrupos, SHAP, roles, contrato, linaje y matriz normativa con fuentes verificables.</w:t>
            </w:r>
          </w:p>
        </w:tc>
        <w:tc>
          <w:tcPr>
            <w:tcW w:type="dxa" w:w="2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Evidencia correcta; falta un detalle menor que no cambia la conclusión.</w:t>
            </w:r>
          </w:p>
        </w:tc>
        <w:tc>
          <w:tcPr>
            <w:tcW w:type="dxa" w:w="2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Avance parcial verificable; faltan resultados o justificaciones relevantes.</w:t>
            </w:r>
          </w:p>
        </w:tc>
        <w:tc>
          <w:tcPr>
            <w:tcW w:type="dxa" w:w="2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No presentado, no verificable o metodológicamente inválido.</w:t>
            </w:r>
          </w:p>
        </w:tc>
      </w:tr>
      <w:tr>
        <w:trPr>
          <w:cantSplit/>
        </w:trPr>
        <w:tc>
          <w:tcPr>
            <w:tcW w:type="dxa" w:w="2551"/>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Asistente e integración</w:t>
            </w:r>
          </w:p>
        </w:tc>
        <w:tc>
          <w:tcPr>
            <w:tcW w:type="dxa" w:w="4535"/>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Prototipo text-to-SQL o RAG y evaluación fija ejecutada; defectos registrados y plan de integración en Streamlit.</w:t>
            </w:r>
          </w:p>
        </w:tc>
        <w:tc>
          <w:tcPr>
            <w:tcW w:type="dxa" w:w="260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Evidencia correcta; falta un detalle menor que no cambia la conclusión.</w:t>
            </w:r>
          </w:p>
        </w:tc>
        <w:tc>
          <w:tcPr>
            <w:tcW w:type="dxa" w:w="260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Avance parcial verificable; faltan resultados o justificaciones relevantes.</w:t>
            </w:r>
          </w:p>
        </w:tc>
        <w:tc>
          <w:tcPr>
            <w:tcW w:type="dxa" w:w="2608"/>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No presentado, no verificable o metodológicamente inválido.</w:t>
            </w:r>
          </w:p>
        </w:tc>
      </w:tr>
    </w:tbl>
    <w:p>
      <w:pPr>
        <w:spacing w:after="20" w:line="276" w:lineRule="auto"/>
        <w:jc w:val="both"/>
      </w:pPr>
    </w:p>
    <w:p>
      <w:pPr>
        <w:spacing w:line="276" w:lineRule="auto"/>
        <w:jc w:val="both"/>
      </w:pPr>
      <w:r>
        <w:rPr>
          <w:rFonts w:ascii="Tahoma" w:hAnsi="Tahoma" w:cs="Tahoma" w:eastAsia="Tahoma"/>
          <w:b/>
          <w:sz w:val="24"/>
        </w:rPr>
        <w:t>Total checkpoint: 1 + 1 + 1 + 1 = 4. Esta escala de un punto se usa solo para el checkpoint; no sustituye la escala de capacidades de 2 a 5 puntos utilizada en los componentes finales.</w:t>
      </w:r>
    </w:p>
    <w:p>
      <w:pPr>
        <w:pStyle w:val="Heading2"/>
        <w:spacing w:line="276" w:lineRule="auto"/>
      </w:pPr>
      <w:r>
        <w:rPr>
          <w:rFonts w:ascii="Tahoma" w:hAnsi="Tahoma" w:cs="Tahoma" w:eastAsia="Tahoma"/>
          <w:sz w:val="24"/>
        </w:rPr>
        <w:t>Evidencia y devolución</w:t>
      </w:r>
    </w:p>
    <w:p>
      <w:pPr>
        <w:spacing w:line="276" w:lineRule="auto"/>
        <w:jc w:val="both"/>
      </w:pPr>
      <w:r>
        <w:rPr>
          <w:rFonts w:ascii="Tahoma" w:hAnsi="Tahoma" w:cs="Tahoma" w:eastAsia="Tahoma"/>
          <w:b w:val="0"/>
          <w:sz w:val="24"/>
        </w:rPr>
        <w:t>El equipo presenta un Colab de avance ejecutado, las salidas de la evaluación del asistente, la documentación de auditoría y una lista de tareas con responsable. Se registra por criterio el nivel, el puntaje y una observación concreta. En la entrega final se conserva la nota del checkpoint y se verifica cómo se atendió la retroalimentación.</w:t>
      </w:r>
    </w:p>
    <w:p>
      <w:pPr>
        <w:pStyle w:val="Heading2"/>
        <w:spacing w:line="276" w:lineRule="auto"/>
      </w:pPr>
      <w:r>
        <w:rPr>
          <w:rFonts w:ascii="Tahoma" w:hAnsi="Tahoma" w:cs="Tahoma" w:eastAsia="Tahoma"/>
          <w:sz w:val="24"/>
        </w:rPr>
        <w:t>Registro de calificación</w:t>
      </w:r>
    </w:p>
    <w:tbl>
      <w:tblPr>
        <w:tblW w:type="auto" w:w="0"/>
        <w:tblLayout w:type="fixed"/>
        <w:tblLook w:firstColumn="1" w:firstRow="1" w:lastColumn="0" w:lastRow="0" w:noHBand="0" w:noVBand="1" w:val="04A0"/>
      </w:tblPr>
      <w:tblGrid>
        <w:gridCol w:w="4025"/>
        <w:gridCol w:w="2721"/>
        <w:gridCol w:w="8164"/>
      </w:tblGrid>
      <w:tr>
        <w:trPr>
          <w:tblHeader/>
          <w:cantSplit/>
        </w:trPr>
        <w:tc>
          <w:tcPr>
            <w:tcW w:type="dxa" w:w="4025"/>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Componente</w:t>
            </w:r>
          </w:p>
        </w:tc>
        <w:tc>
          <w:tcPr>
            <w:tcW w:type="dxa" w:w="2721"/>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Puntaje máximo</w:t>
            </w:r>
          </w:p>
        </w:tc>
        <w:tc>
          <w:tcPr>
            <w:tcW w:type="dxa" w:w="8164"/>
            <w:tcBorders>
              <w:top w:val="single" w:sz="4" w:color="D9D9D9"/>
              <w:left w:val="single" w:sz="4" w:color="D9D9D9"/>
              <w:bottom w:val="single" w:sz="4" w:color="D9D9D9"/>
              <w:right w:val="single" w:sz="4" w:color="D9D9D9"/>
            </w:tcBorders>
            <w:shd w:fill="DCE8F3"/>
            <w:tcMar>
              <w:top w:w="80" w:type="dxa"/>
              <w:left w:w="80" w:type="dxa"/>
              <w:bottom w:w="80" w:type="dxa"/>
              <w:right w:w="80" w:type="dxa"/>
            </w:tcMar>
            <w:vAlign w:val="center"/>
          </w:tcPr>
          <w:p>
            <w:pPr>
              <w:spacing w:after="60" w:line="276" w:lineRule="auto"/>
            </w:pPr>
            <w:r>
              <w:rPr>
                <w:rFonts w:ascii="Tahoma" w:hAnsi="Tahoma" w:cs="Tahoma" w:eastAsia="Tahoma"/>
                <w:b/>
                <w:sz w:val="20"/>
              </w:rPr>
              <w:t>Registro</w:t>
            </w:r>
          </w:p>
        </w:tc>
      </w:tr>
      <w:tr>
        <w:trPr>
          <w:cantSplit/>
        </w:trPr>
        <w:tc>
          <w:tcPr>
            <w:tcW w:type="dxa" w:w="4025"/>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Checkpoint Semana 14</w:t>
            </w:r>
          </w:p>
        </w:tc>
        <w:tc>
          <w:tcPr>
            <w:tcW w:type="dxa" w:w="2721"/>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4</w:t>
            </w:r>
          </w:p>
        </w:tc>
        <w:tc>
          <w:tcPr>
            <w:tcW w:type="dxa" w:w="816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Se transfiere al informe</w:t>
            </w:r>
          </w:p>
        </w:tc>
      </w:tr>
      <w:tr>
        <w:trPr>
          <w:cantSplit/>
        </w:trPr>
        <w:tc>
          <w:tcPr>
            <w:tcW w:type="dxa" w:w="4025"/>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Informe final Semana 16</w:t>
            </w:r>
          </w:p>
        </w:tc>
        <w:tc>
          <w:tcPr>
            <w:tcW w:type="dxa" w:w="2721"/>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16</w:t>
            </w:r>
          </w:p>
        </w:tc>
        <w:tc>
          <w:tcPr>
            <w:tcW w:type="dxa" w:w="8164"/>
            <w:tcBorders>
              <w:top w:val="single" w:sz="4" w:color="D9D9D9"/>
              <w:left w:val="single" w:sz="4" w:color="D9D9D9"/>
              <w:bottom w:val="single" w:sz="4" w:color="D9D9D9"/>
              <w:right w:val="single" w:sz="4" w:color="D9D9D9"/>
            </w:tcBorders>
            <w:shd w:fill="F3F6F9"/>
            <w:tcMar>
              <w:top w:w="80" w:type="dxa"/>
              <w:left w:w="80" w:type="dxa"/>
              <w:bottom w:w="80" w:type="dxa"/>
              <w:right w:w="80" w:type="dxa"/>
            </w:tcMar>
            <w:vAlign w:val="center"/>
          </w:tcPr>
          <w:p>
            <w:pPr>
              <w:spacing w:after="60" w:line="276" w:lineRule="auto"/>
            </w:pPr>
            <w:r>
              <w:rPr>
                <w:rFonts w:ascii="Tahoma" w:hAnsi="Tahoma" w:cs="Tahoma" w:eastAsia="Tahoma"/>
                <w:b w:val="0"/>
                <w:sz w:val="20"/>
              </w:rPr>
              <w:t>Se suma al checkpoint</w:t>
            </w:r>
          </w:p>
        </w:tc>
      </w:tr>
      <w:tr>
        <w:trPr>
          <w:cantSplit/>
        </w:trPr>
        <w:tc>
          <w:tcPr>
            <w:tcW w:type="dxa" w:w="4025"/>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Informe total</w:t>
            </w:r>
          </w:p>
        </w:tc>
        <w:tc>
          <w:tcPr>
            <w:tcW w:type="dxa" w:w="2721"/>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20</w:t>
            </w:r>
          </w:p>
        </w:tc>
        <w:tc>
          <w:tcPr>
            <w:tcW w:type="dxa" w:w="816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vAlign w:val="center"/>
          </w:tcPr>
          <w:p>
            <w:pPr>
              <w:spacing w:after="60" w:line="276" w:lineRule="auto"/>
            </w:pPr>
            <w:r>
              <w:rPr>
                <w:rFonts w:ascii="Tahoma" w:hAnsi="Tahoma" w:cs="Tahoma" w:eastAsia="Tahoma"/>
                <w:b w:val="0"/>
                <w:sz w:val="20"/>
              </w:rPr>
              <w:t>16 + 4</w:t>
            </w:r>
          </w:p>
        </w:tc>
      </w:tr>
    </w:tbl>
    <w:p>
      <w:pPr>
        <w:spacing w:after="20" w:line="276" w:lineRule="auto"/>
        <w:jc w:val="both"/>
      </w:pPr>
    </w:p>
    <w:p>
      <w:pPr>
        <w:spacing w:line="276" w:lineRule="auto"/>
        <w:jc w:val="both"/>
      </w:pPr>
      <w:r>
        <w:rPr>
          <w:rFonts w:ascii="Tahoma" w:hAnsi="Tahoma" w:cs="Tahoma" w:eastAsia="Tahoma"/>
          <w:b w:val="0"/>
          <w:sz w:val="24"/>
        </w:rPr>
        <w:t>Registrar por integrante: exposición grupal /7, réplicas /13 y sustentación /20. PMD2 = (Colab y app + informe total + sustentación personal) / 3.</w:t>
      </w:r>
    </w:p>
    <w:sectPr w:rsidR="00FC693F" w:rsidRPr="0006063C" w:rsidSect="00034616">
      <w:footerReference w:type="default" r:id="rId9"/>
      <w:headerReference w:type="default" r:id="rId10"/>
      <w:pgSz w:w="16838" w:h="11906"/>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76" w:lineRule="auto"/>
      <w:jc w:val="right"/>
    </w:pPr>
    <w:r>
      <w:rPr>
        <w:rFonts w:ascii="Tahoma" w:hAnsi="Tahoma" w:cs="Tahoma" w:eastAsia="Tahoma"/>
        <w:sz w:val="18"/>
      </w:rPr>
      <w:t xml:space="preserve">TECSUP · AEI · PMD2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76" w:lineRule="auto"/>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Tahoma" w:hAnsi="Tahoma" w:cs="Tahoma" w:eastAsia="Tahom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ahoma" w:hAnsi="Tahoma" w:cs="Tahoma" w:eastAsia="Tahoma"/>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ahoma" w:hAnsi="Tahoma" w:cs="Tahoma" w:eastAsia="Tahoma"/>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ahoma" w:hAnsi="Tahoma" w:cs="Tahoma" w:eastAsia="Tahoma"/>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ahoma" w:hAnsi="Tahoma" w:cs="Tahoma" w:eastAsia="Tahoma"/>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ahoma" w:hAnsi="Tahoma" w:cs="Tahoma" w:eastAsia="Tahoma"/>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ahoma" w:hAnsi="Tahoma" w:cs="Tahoma" w:eastAsia="Tahoma"/>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ahoma" w:hAnsi="Tahoma" w:cs="Tahoma" w:eastAsia="Tahoma"/>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ahoma" w:hAnsi="Tahoma" w:cs="Tahoma" w:eastAsia="Tahoma"/>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ahoma" w:hAnsi="Tahoma" w:cs="Tahoma" w:eastAsia="Tahoma"/>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ahoma" w:hAnsi="Tahoma" w:cs="Tahoma" w:eastAsia="Tahoma"/>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ahoma" w:hAnsi="Tahoma" w:cs="Tahoma" w:eastAsia="Tahoma"/>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ahoma" w:hAnsi="Tahoma" w:cs="Tahoma" w:eastAsia="Tahom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ahoma" w:hAnsi="Tahoma" w:cs="Tahoma" w:eastAsia="Tahoma"/>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ahoma" w:hAnsi="Tahoma" w:cs="Tahoma" w:eastAsia="Tahoma"/>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ahoma" w:hAnsi="Tahoma" w:cs="Tahoma" w:eastAsia="Tahoma"/>
    </w:rPr>
  </w:style>
  <w:style w:type="paragraph" w:styleId="BodyText">
    <w:name w:val="Body Text"/>
    <w:basedOn w:val="Normal"/>
    <w:link w:val="BodyTextChar"/>
    <w:uiPriority w:val="99"/>
    <w:unhideWhenUsed/>
    <w:rsid w:val="00AA1D8D"/>
    <w:pPr>
      <w:spacing w:after="120"/>
    </w:pPr>
    <w:rPr>
      <w:rFonts w:ascii="Tahoma" w:hAnsi="Tahoma" w:cs="Tahoma" w:eastAsia="Tahoma"/>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ahoma" w:hAnsi="Tahoma" w:cs="Tahoma" w:eastAsia="Tahoma"/>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ahoma" w:hAnsi="Tahoma" w:cs="Tahoma" w:eastAsia="Tahoma"/>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ahoma" w:hAnsi="Tahoma" w:cs="Tahoma" w:eastAsia="Tahoma"/>
    </w:rPr>
  </w:style>
  <w:style w:type="paragraph" w:styleId="List2">
    <w:name w:val="List 2"/>
    <w:basedOn w:val="Normal"/>
    <w:uiPriority w:val="99"/>
    <w:unhideWhenUsed/>
    <w:rsid w:val="00326F90"/>
    <w:pPr>
      <w:ind w:left="720" w:hanging="360"/>
      <w:contextualSpacing/>
    </w:pPr>
    <w:rPr>
      <w:rFonts w:ascii="Tahoma" w:hAnsi="Tahoma" w:cs="Tahoma" w:eastAsia="Tahoma"/>
    </w:rPr>
  </w:style>
  <w:style w:type="paragraph" w:styleId="List3">
    <w:name w:val="List 3"/>
    <w:basedOn w:val="Normal"/>
    <w:uiPriority w:val="99"/>
    <w:unhideWhenUsed/>
    <w:rsid w:val="00326F90"/>
    <w:pPr>
      <w:ind w:left="1080" w:hanging="360"/>
      <w:contextualSpacing/>
    </w:pPr>
    <w:rPr>
      <w:rFonts w:ascii="Tahoma" w:hAnsi="Tahoma" w:cs="Tahoma" w:eastAsia="Tahoma"/>
    </w:rPr>
  </w:style>
  <w:style w:type="paragraph" w:styleId="ListBullet">
    <w:name w:val="List Bullet"/>
    <w:basedOn w:val="Normal"/>
    <w:uiPriority w:val="99"/>
    <w:unhideWhenUsed/>
    <w:rsid w:val="00326F90"/>
    <w:pPr>
      <w:numPr>
        <w:numId w:val="1"/>
      </w:numPr>
      <w:contextualSpacing/>
    </w:pPr>
    <w:rPr>
      <w:rFonts w:ascii="Tahoma" w:hAnsi="Tahoma" w:cs="Tahoma" w:eastAsia="Tahoma"/>
    </w:rPr>
  </w:style>
  <w:style w:type="paragraph" w:styleId="ListBullet2">
    <w:name w:val="List Bullet 2"/>
    <w:basedOn w:val="Normal"/>
    <w:uiPriority w:val="99"/>
    <w:unhideWhenUsed/>
    <w:rsid w:val="00326F90"/>
    <w:pPr>
      <w:numPr>
        <w:numId w:val="2"/>
      </w:numPr>
      <w:contextualSpacing/>
    </w:pPr>
    <w:rPr>
      <w:rFonts w:ascii="Tahoma" w:hAnsi="Tahoma" w:cs="Tahoma" w:eastAsia="Tahoma"/>
    </w:rPr>
  </w:style>
  <w:style w:type="paragraph" w:styleId="ListBullet3">
    <w:name w:val="List Bullet 3"/>
    <w:basedOn w:val="Normal"/>
    <w:uiPriority w:val="99"/>
    <w:unhideWhenUsed/>
    <w:rsid w:val="00326F90"/>
    <w:pPr>
      <w:numPr>
        <w:numId w:val="3"/>
      </w:numPr>
      <w:contextualSpacing/>
    </w:pPr>
    <w:rPr>
      <w:rFonts w:ascii="Tahoma" w:hAnsi="Tahoma" w:cs="Tahoma" w:eastAsia="Tahoma"/>
    </w:rPr>
  </w:style>
  <w:style w:type="paragraph" w:styleId="ListNumber">
    <w:name w:val="List Number"/>
    <w:basedOn w:val="Normal"/>
    <w:uiPriority w:val="99"/>
    <w:unhideWhenUsed/>
    <w:rsid w:val="00326F90"/>
    <w:pPr>
      <w:numPr>
        <w:numId w:val="5"/>
      </w:numPr>
      <w:contextualSpacing/>
    </w:pPr>
    <w:rPr>
      <w:rFonts w:ascii="Tahoma" w:hAnsi="Tahoma" w:cs="Tahoma" w:eastAsia="Tahoma"/>
    </w:rPr>
  </w:style>
  <w:style w:type="paragraph" w:styleId="ListNumber2">
    <w:name w:val="List Number 2"/>
    <w:basedOn w:val="Normal"/>
    <w:uiPriority w:val="99"/>
    <w:unhideWhenUsed/>
    <w:rsid w:val="0029639D"/>
    <w:pPr>
      <w:numPr>
        <w:numId w:val="6"/>
      </w:numPr>
      <w:contextualSpacing/>
    </w:pPr>
    <w:rPr>
      <w:rFonts w:ascii="Tahoma" w:hAnsi="Tahoma" w:cs="Tahoma" w:eastAsia="Tahoma"/>
    </w:rPr>
  </w:style>
  <w:style w:type="paragraph" w:styleId="ListNumber3">
    <w:name w:val="List Number 3"/>
    <w:basedOn w:val="Normal"/>
    <w:uiPriority w:val="99"/>
    <w:unhideWhenUsed/>
    <w:rsid w:val="0029639D"/>
    <w:pPr>
      <w:numPr>
        <w:numId w:val="7"/>
      </w:numPr>
      <w:contextualSpacing/>
    </w:pPr>
    <w:rPr>
      <w:rFonts w:ascii="Tahoma" w:hAnsi="Tahoma" w:cs="Tahoma" w:eastAsia="Tahoma"/>
    </w:rPr>
  </w:style>
  <w:style w:type="paragraph" w:styleId="ListContinue">
    <w:name w:val="List Continue"/>
    <w:basedOn w:val="Normal"/>
    <w:uiPriority w:val="99"/>
    <w:unhideWhenUsed/>
    <w:rsid w:val="0029639D"/>
    <w:pPr>
      <w:spacing w:after="120"/>
      <w:ind w:left="360"/>
      <w:contextualSpacing/>
    </w:pPr>
    <w:rPr>
      <w:rFonts w:ascii="Tahoma" w:hAnsi="Tahoma" w:cs="Tahoma" w:eastAsia="Tahoma"/>
    </w:rPr>
  </w:style>
  <w:style w:type="paragraph" w:styleId="ListContinue2">
    <w:name w:val="List Continue 2"/>
    <w:basedOn w:val="Normal"/>
    <w:uiPriority w:val="99"/>
    <w:unhideWhenUsed/>
    <w:rsid w:val="0029639D"/>
    <w:pPr>
      <w:spacing w:after="120"/>
      <w:ind w:left="720"/>
      <w:contextualSpacing/>
    </w:pPr>
    <w:rPr>
      <w:rFonts w:ascii="Tahoma" w:hAnsi="Tahoma" w:cs="Tahoma" w:eastAsia="Tahoma"/>
    </w:rPr>
  </w:style>
  <w:style w:type="paragraph" w:styleId="ListContinue3">
    <w:name w:val="List Continue 3"/>
    <w:basedOn w:val="Normal"/>
    <w:uiPriority w:val="99"/>
    <w:unhideWhenUsed/>
    <w:rsid w:val="0029639D"/>
    <w:pPr>
      <w:spacing w:after="120"/>
      <w:ind w:left="1080"/>
      <w:contextualSpacing/>
    </w:pPr>
    <w:rPr>
      <w:rFonts w:ascii="Tahoma" w:hAnsi="Tahoma" w:cs="Tahoma" w:eastAsia="Tahom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ahoma" w:hAnsi="Tahoma" w:cs="Tahoma" w:eastAsia="Tahoma"/>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ahoma" w:hAnsi="Tahoma" w:cs="Tahoma" w:eastAsia="Tahoma"/>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ahoma" w:hAnsi="Tahoma" w:cs="Tahoma" w:eastAsia="Tahoma"/>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ahoma" w:hAnsi="Tahoma" w:cs="Tahoma" w:eastAsia="Tahoma"/>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ahoma" w:hAnsi="Tahoma" w:cs="Tahoma" w:eastAsia="Tahoma"/>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