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Tahoma" w:hAnsi="Tahoma" w:cs="Tahoma"/>
          <w:b/>
          <w:color w:val="9E1218"/>
          <w:sz w:val="24"/>
        </w:rPr>
        <w:t>Sustentación</w:t>
      </w:r>
    </w:p>
    <w:p>
      <w:pPr>
        <w:spacing w:after="80"/>
        <w:jc w:val="center"/>
      </w:pPr>
      <w:r>
        <w:rPr>
          <w:rFonts w:ascii="Tahoma" w:hAnsi="Tahoma" w:cs="Tahoma"/>
          <w:color w:val="595959"/>
          <w:sz w:val="24"/>
        </w:rPr>
        <w:t>Nombre: ______________________________   Fecha: ____________</w:t>
      </w:r>
    </w:p>
    <w:p>
      <w:pPr>
        <w:jc w:val="center"/>
      </w:pPr>
      <w:r>
        <w:rPr>
          <w:rFonts w:ascii="Tahoma" w:hAnsi="Tahoma" w:cs="Tahoma"/>
          <w:i/>
          <w:color w:val="595959"/>
          <w:sz w:val="24"/>
        </w:rPr>
        <w:t>Semana 7 · Teoría de colas y Teoría de decisión</w:t>
      </w:r>
    </w:p>
    <w:p>
      <w:pPr>
        <w:keepNext/>
        <w:spacing w:before="280" w:after="80"/>
      </w:pPr>
      <w:r>
        <w:rPr>
          <w:rFonts w:ascii="Tahoma" w:hAnsi="Tahoma" w:cs="Tahoma"/>
          <w:b/>
          <w:color w:val="9E1218"/>
          <w:sz w:val="24"/>
        </w:rPr>
        <w:t xml:space="preserve">Caso 1: </w:t>
      </w:r>
      <w:r>
        <w:rPr>
          <w:rFonts w:ascii="Tahoma" w:hAnsi="Tahoma" w:cs="Tahoma"/>
          <w:b/>
          <w:sz w:val="24"/>
        </w:rPr>
        <w:t>Ampliación de la central de citas de CLÍNICA VALLE SUR</w:t>
      </w:r>
    </w:p>
    <w:p>
      <w:pPr>
        <w:keepNext/>
      </w:pPr>
      <w:r>
        <w:rPr>
          <w:rFonts w:ascii="Tahoma" w:hAnsi="Tahoma" w:cs="Tahoma"/>
          <w:i/>
          <w:color w:val="595959"/>
          <w:sz w:val="24"/>
        </w:rPr>
        <w:t>Teoría de colas</w:t>
      </w:r>
    </w:p>
    <w:p>
      <w:pPr>
        <w:spacing w:after="160"/>
        <w:jc w:val="both"/>
      </w:pPr>
      <w:r>
        <w:rPr>
          <w:rFonts w:ascii="Tahoma" w:hAnsi="Tahoma" w:cs="Tahoma"/>
          <w:sz w:val="24"/>
        </w:rPr>
        <w:t>CLÍNICA VALLE SUR es una clínica privada peruana que atiende las solicitudes de citas médicas de sus pacientes a través de una central telefónica. Cuando un paciente llama, ingresa a una cola de espera hasta que un operador de citas esté disponible. A un operador le toma, en promedio, 12 minutos atender una llamada, con tiempos que se ajustan a una distribución exponencial. Asimismo, se ha estimado que en promedio ingresan a la central 4 llamadas cada 15 minutos, siguiendo una distribución de Poisson.</w:t>
      </w:r>
    </w:p>
    <w:p>
      <w:pPr>
        <w:spacing w:after="160"/>
        <w:jc w:val="both"/>
      </w:pPr>
      <w:r>
        <w:rPr>
          <w:rFonts w:ascii="Tahoma" w:hAnsi="Tahoma" w:cs="Tahoma"/>
          <w:sz w:val="24"/>
        </w:rPr>
        <w:t>Los operadores trabajan un solo turno diario de 8:00 a. m. a 4:00 p. m., de lunes a viernes, 4 semanas al mes, y tienen una remuneración de 130 soles diarios. Los costos del sistema telefónico son de 175 soles semanales por operador. Asimismo, se estima que por cada paciente que permanece en espera se incurre en un costo de oportunidad de 25 soles por hora.</w:t>
      </w:r>
    </w:p>
    <w:p>
      <w:pPr>
        <w:spacing w:after="160"/>
        <w:jc w:val="both"/>
      </w:pPr>
      <w:r>
        <w:rPr>
          <w:rFonts w:ascii="Tahoma" w:hAnsi="Tahoma" w:cs="Tahoma"/>
          <w:sz w:val="24"/>
        </w:rPr>
        <w:t>Actualmente, la clínica trabaja con el número mínimo de operadores que le garantiza poder atender a todos los pacientes que llaman; sin embargo, en las últimas semanas ha recibido numerosas quejas por la demora en la atención, por lo que se desea evaluar la conveniencia de contratar a un operador adicional. Esta propuesta debe estar sustentada en lo siguiente:</w:t>
      </w:r>
    </w:p>
    <w:p>
      <w:pPr>
        <w:pStyle w:val="Listaconvietas"/>
        <w:spacing w:after="80"/>
      </w:pPr>
      <w:r>
        <w:rPr>
          <w:rFonts w:ascii="Tahoma" w:hAnsi="Tahoma" w:cs="Tahoma"/>
          <w:sz w:val="24"/>
        </w:rPr>
        <w:t>El paciente no debe esperar en cola más de 6 minutos por la atención del operador.</w:t>
      </w:r>
    </w:p>
    <w:p>
      <w:pPr>
        <w:pStyle w:val="Listaconvietas"/>
        <w:spacing w:after="80"/>
      </w:pPr>
      <w:r>
        <w:rPr>
          <w:rFonts w:ascii="Tahoma" w:hAnsi="Tahoma" w:cs="Tahoma"/>
          <w:sz w:val="24"/>
        </w:rPr>
        <w:t>El costo total del servicio debe ser menor.</w:t>
      </w:r>
    </w:p>
    <w:p>
      <w:pPr>
        <w:spacing w:after="160"/>
        <w:jc w:val="both"/>
      </w:pPr>
      <w:r>
        <w:rPr>
          <w:rFonts w:ascii="Tahoma" w:hAnsi="Tahoma" w:cs="Tahoma"/>
          <w:i/>
          <w:sz w:val="24"/>
        </w:rPr>
        <w:t>Las tasas de llegada y de atención deben expresarse en pacientes/hora.</w:t>
      </w:r>
    </w:p>
    <w:p>
      <w:pPr>
        <w:keepNext/>
        <w:spacing w:before="120" w:after="80"/>
        <w:jc w:val="both"/>
      </w:pPr>
      <w:r>
        <w:rPr>
          <w:rFonts w:ascii="Tahoma" w:hAnsi="Tahoma" w:cs="Tahoma"/>
          <w:b/>
          <w:sz w:val="24"/>
        </w:rPr>
        <w:t>¿Cuál es la situación problemática? (Debe incluir el problema a resolver, las distintas propuestas y el objetivo)</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¿Cómo representaría los modelos a comparar y las metas que debe alcanzar?</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¿Qué cálculos debe obtener para evaluar las metas? (Debe ser presentado en un cuadro y presentar un gráfico que explique el comportamiento de los costos)</w:t>
      </w:r>
    </w:p>
    <w:p>
      <w:pPr/>
    </w:p>
    <w:tbl>
      <w:tblPr>
        <w:tblStyle w:val="Tablaconcuadrcula"/>
        <w:tblW w:type="auto" w:w="0"/>
        <w:tblLook w:firstColumn="1" w:firstRow="1" w:lastColumn="0" w:lastRow="0" w:noHBand="0" w:noVBand="1" w:val="04A0"/>
      </w:tblPr>
      <w:tblGrid>
        <w:gridCol w:w="3489"/>
        <w:gridCol w:w="3489"/>
        <w:gridCol w:w="3489"/>
      </w:tblGrid>
      <w:tr>
        <w:tc>
          <w:tcPr>
            <w:tcW w:type="dxa" w:w="3489"/>
            <w:shd w:val="clear" w:color="auto" w:fill="9E1218"/>
          </w:tcPr>
          <w:p>
            <w:pPr>
              <w:jc w:val="center"/>
            </w:pPr>
            <w:r>
              <w:rPr>
                <w:rFonts w:ascii="Tahoma" w:hAnsi="Tahoma" w:cs="Tahoma"/>
                <w:b/>
                <w:color w:val="FFFFFF"/>
                <w:sz w:val="24"/>
              </w:rPr>
              <w:t>Medida</w:t>
            </w:r>
          </w:p>
        </w:tc>
        <w:tc>
          <w:tcPr>
            <w:tcW w:type="dxa" w:w="3489"/>
            <w:shd w:val="clear" w:color="auto" w:fill="9E1218"/>
          </w:tcPr>
          <w:p>
            <w:pPr>
              <w:jc w:val="center"/>
            </w:pPr>
            <w:r>
              <w:rPr>
                <w:rFonts w:ascii="Tahoma" w:hAnsi="Tahoma" w:cs="Tahoma"/>
                <w:b/>
                <w:color w:val="FFFFFF"/>
                <w:sz w:val="24"/>
              </w:rPr>
              <w:t>s = 4 (actual)</w:t>
            </w:r>
          </w:p>
        </w:tc>
        <w:tc>
          <w:tcPr>
            <w:tcW w:type="dxa" w:w="3489"/>
            <w:shd w:val="clear" w:color="auto" w:fill="9E1218"/>
          </w:tcPr>
          <w:p>
            <w:pPr>
              <w:jc w:val="center"/>
            </w:pPr>
            <w:r>
              <w:rPr>
                <w:rFonts w:ascii="Tahoma" w:hAnsi="Tahoma" w:cs="Tahoma"/>
                <w:b/>
                <w:color w:val="FFFFFF"/>
                <w:sz w:val="24"/>
              </w:rPr>
              <w:t>s = 5 (propuesta)</w:t>
            </w:r>
          </w:p>
        </w:tc>
      </w:tr>
      <w:tr>
        <w:tc>
          <w:tcPr>
            <w:tcW w:type="dxa" w:w="3489"/>
          </w:tcPr>
          <w:p>
            <w:r>
              <w:rPr>
                <w:rFonts w:ascii="Tahoma" w:hAnsi="Tahoma" w:cs="Tahoma"/>
                <w:sz w:val="24"/>
              </w:rPr>
              <w:t>λ (pacientes/hora)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μ por operador (pacientes/hora)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ρ = λ / (s·μ)</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P0 (prob. sistema vacío)</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P(espera) – Erlang C</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Wq (minutos)</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Lq (pacientes en espera)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fijo mensual (planilla + plataforma)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de espera mensual (25 soles/h × Lq × 160 h/mes)</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total mensual</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bl>
    <w:p>
      <w:pPr/>
    </w:p>
    <w:p>
      <w:pPr>
        <w:spacing w:before="40" w:after="40"/>
      </w:pPr>
      <w:r>
        <w:rPr>
          <w:rFonts w:ascii="Tahoma" w:hAnsi="Tahoma" w:cs="Tahoma"/>
          <w:b/>
          <w:color w:val="9E1218"/>
          <w:sz w:val="24"/>
        </w:rPr>
        <w:t>Respuesta:</w:t>
      </w:r>
    </w:p>
    <w:p>
      <w:pPr/>
    </w:p>
    <w:p>
      <w:pPr/>
    </w:p>
    <w:p>
      <w:pPr/>
    </w:p>
    <w:p>
      <w:pPr/>
    </w:p>
    <w:p>
      <w:pPr/>
    </w:p>
    <w:p>
      <w:pPr/>
    </w:p>
    <w:p>
      <w:pPr/>
    </w:p>
    <w:p>
      <w:pPr/>
    </w:p>
    <w:p>
      <w:pPr>
        <w:keepNext/>
        <w:spacing w:before="120" w:after="80"/>
        <w:jc w:val="both"/>
      </w:pPr>
      <w:r>
        <w:rPr>
          <w:rFonts w:ascii="Tahoma" w:hAnsi="Tahoma" w:cs="Tahoma"/>
          <w:b/>
          <w:sz w:val="24"/>
        </w:rPr>
        <w:t>¿Qué propuesta es la mejor? Realice una discusión de resultados para argumentar su decisión.</w:t>
      </w:r>
    </w:p>
    <w:p>
      <w:pPr/>
    </w:p>
    <w:p>
      <w:pPr>
        <w:spacing w:before="40" w:after="40"/>
      </w:pPr>
      <w:r>
        <w:rPr>
          <w:rFonts w:ascii="Tahoma" w:hAnsi="Tahoma" w:cs="Tahoma"/>
          <w:b/>
          <w:color w:val="9E1218"/>
          <w:sz w:val="24"/>
        </w:rPr>
        <w:t>Respuesta:</w:t>
      </w:r>
    </w:p>
    <w:p>
      <w:pPr/>
    </w:p>
    <w:p>
      <w:pPr/>
    </w:p>
    <w:p>
      <w:pPr/>
    </w:p>
    <w:p>
      <w:pPr/>
    </w:p>
    <w:p>
      <w:pPr/>
    </w:p>
    <w:p>
      <w:pPr>
        <w:keepNext/>
        <w:spacing w:before="280" w:after="80"/>
      </w:pPr>
      <w:r>
        <w:rPr>
          <w:rFonts w:ascii="Tahoma" w:hAnsi="Tahoma" w:cs="Tahoma"/>
          <w:b/>
          <w:color w:val="9E1218"/>
          <w:sz w:val="24"/>
        </w:rPr>
        <w:t xml:space="preserve">Caso 2: </w:t>
      </w:r>
      <w:r>
        <w:rPr>
          <w:rFonts w:ascii="Tahoma" w:hAnsi="Tahoma" w:cs="Tahoma"/>
          <w:b/>
          <w:sz w:val="24"/>
        </w:rPr>
        <w:t>Estrategia de renovación de la carta del restaurante “Sabores del Sur”</w:t>
      </w:r>
    </w:p>
    <w:p>
      <w:pPr>
        <w:keepNext/>
      </w:pPr>
      <w:r>
        <w:rPr>
          <w:rFonts w:ascii="Tahoma" w:hAnsi="Tahoma" w:cs="Tahoma"/>
          <w:i/>
          <w:color w:val="595959"/>
          <w:sz w:val="24"/>
        </w:rPr>
        <w:t>Teoría de decisión – valor esperado, un nivel</w:t>
      </w:r>
    </w:p>
    <w:p>
      <w:pPr>
        <w:spacing w:after="160"/>
        <w:jc w:val="both"/>
      </w:pPr>
      <w:r>
        <w:rPr>
          <w:rFonts w:ascii="Tahoma" w:hAnsi="Tahoma" w:cs="Tahoma"/>
          <w:sz w:val="24"/>
        </w:rPr>
        <w:t>Marco Quispe, dueño del restaurante “Sabores del Sur”, debe decidir cómo invertir en su oferta para la próxima temporada: mantener únicamente su carta criolla tradicional o incorporar una línea de platos vegetarianos gourmet, con el objetivo de maximizar su utilidad neta. El resultado dependerá de la demanda del mercado, que prevé dos escenarios: alta demanda por tendencias saludables o demanda estable tradicional.</w:t>
      </w:r>
    </w:p>
    <w:p>
      <w:pPr>
        <w:spacing w:after="160"/>
        <w:jc w:val="both"/>
      </w:pPr>
      <w:r>
        <w:rPr>
          <w:rFonts w:ascii="Tahoma" w:hAnsi="Tahoma" w:cs="Tahoma"/>
          <w:sz w:val="24"/>
        </w:rPr>
        <w:t>Si opta por mantener solo la carta criolla, sus costos serán de S/ 60,000; si hay alta demanda por tendencias saludables obtendría ingresos por S/ 130,000, mientras que si hay demanda estable obtendría ingresos por S/ 100,000.</w:t>
      </w:r>
    </w:p>
    <w:p>
      <w:pPr>
        <w:spacing w:after="160"/>
        <w:jc w:val="both"/>
      </w:pPr>
      <w:r>
        <w:rPr>
          <w:rFonts w:ascii="Tahoma" w:hAnsi="Tahoma" w:cs="Tahoma"/>
          <w:sz w:val="24"/>
        </w:rPr>
        <w:t>Si opta por incorporar la línea vegetariana, sus costos serán de S/ 95,000; si hay alta demanda obtendría ingresos por S/ 170,000, mientras que si hay demanda estable, dichos ingresos se reducirían en un 35%. Además, ha estimado que la probabilidad de alta demanda por tendencias saludables es de 0.45.</w:t>
      </w:r>
    </w:p>
    <w:p>
      <w:pPr>
        <w:keepNext/>
        <w:spacing w:before="120" w:after="80"/>
        <w:jc w:val="both"/>
      </w:pPr>
      <w:r>
        <w:rPr>
          <w:rFonts w:ascii="Tahoma" w:hAnsi="Tahoma" w:cs="Tahoma"/>
          <w:b/>
          <w:sz w:val="24"/>
        </w:rPr>
        <w:t>¿Cuál es la situación problemática, qué problema hay que resolver y con qué finalidad?</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¿Qué herramienta se utilizaría para resolver el problema? Presente los elementos, muestre el desarrollo de los cálculos necesarios para hallar los pagos y aplicar el criterio del valor esperado.</w:t>
      </w:r>
    </w:p>
    <w:p>
      <w:pPr/>
    </w:p>
    <w:tbl>
      <w:tblPr>
        <w:tblStyle w:val="Tablaconcuadrcula"/>
        <w:tblW w:type="auto" w:w="0"/>
        <w:tblLook w:firstColumn="1" w:firstRow="1" w:lastColumn="0" w:lastRow="0" w:noHBand="0" w:noVBand="1" w:val="04A0"/>
      </w:tblPr>
      <w:tblGrid>
        <w:gridCol w:w="2013"/>
        <w:gridCol w:w="1988"/>
        <w:gridCol w:w="1955"/>
        <w:gridCol w:w="1916"/>
        <w:gridCol w:w="1983"/>
      </w:tblGrid>
      <w:tr>
        <w:tc>
          <w:tcPr>
            <w:tcW w:type="dxa" w:w="2013"/>
            <w:shd w:val="clear" w:color="auto" w:fill="9E1218"/>
          </w:tcPr>
          <w:p>
            <w:pPr>
              <w:jc w:val="center"/>
            </w:pPr>
            <w:r>
              <w:rPr>
                <w:rFonts w:ascii="Tahoma" w:hAnsi="Tahoma" w:cs="Tahoma"/>
                <w:b/>
                <w:color w:val="FFFFFF"/>
                <w:sz w:val="24"/>
              </w:rPr>
              <w:t>Alternativa</w:t>
            </w:r>
          </w:p>
        </w:tc>
        <w:tc>
          <w:tcPr>
            <w:tcW w:type="dxa" w:w="1988"/>
            <w:shd w:val="clear" w:color="auto" w:fill="9E1218"/>
          </w:tcPr>
          <w:p>
            <w:pPr>
              <w:jc w:val="center"/>
            </w:pPr>
            <w:r>
              <w:rPr>
                <w:rFonts w:ascii="Tahoma" w:hAnsi="Tahoma" w:cs="Tahoma"/>
                <w:b/>
                <w:color w:val="FFFFFF"/>
                <w:sz w:val="24"/>
              </w:rPr>
              <w:t>Escenario</w:t>
            </w:r>
          </w:p>
        </w:tc>
        <w:tc>
          <w:tcPr>
            <w:tcW w:type="dxa" w:w="1955"/>
            <w:shd w:val="clear" w:color="auto" w:fill="9E1218"/>
          </w:tcPr>
          <w:p>
            <w:pPr>
              <w:jc w:val="center"/>
            </w:pPr>
            <w:r>
              <w:rPr>
                <w:rFonts w:ascii="Tahoma" w:hAnsi="Tahoma" w:cs="Tahoma"/>
                <w:b/>
                <w:color w:val="FFFFFF"/>
                <w:sz w:val="24"/>
              </w:rPr>
              <w:t>Ingreso</w:t>
            </w:r>
          </w:p>
        </w:tc>
        <w:tc>
          <w:tcPr>
            <w:tcW w:type="dxa" w:w="1916"/>
            <w:shd w:val="clear" w:color="auto" w:fill="9E1218"/>
          </w:tcPr>
          <w:p>
            <w:pPr>
              <w:jc w:val="center"/>
            </w:pPr>
            <w:r>
              <w:rPr>
                <w:rFonts w:ascii="Tahoma" w:hAnsi="Tahoma" w:cs="Tahoma"/>
                <w:b/>
                <w:color w:val="FFFFFF"/>
                <w:sz w:val="24"/>
              </w:rPr>
              <w:t>Costo</w:t>
            </w:r>
          </w:p>
        </w:tc>
        <w:tc>
          <w:tcPr>
            <w:tcW w:type="dxa" w:w="1983"/>
            <w:shd w:val="clear" w:color="auto" w:fill="9E1218"/>
          </w:tcPr>
          <w:p>
            <w:pPr>
              <w:jc w:val="center"/>
            </w:pPr>
            <w:r>
              <w:rPr>
                <w:rFonts w:ascii="Tahoma" w:hAnsi="Tahoma" w:cs="Tahoma"/>
                <w:b/>
                <w:color w:val="FFFFFF"/>
                <w:sz w:val="24"/>
              </w:rPr>
              <w:t>Pago (utilidad)</w:t>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Demanda estable (P = 0.55)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Demanda estable (P = 0.55)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bl>
    <w:p>
      <w:pP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keepNext/>
        <w:spacing w:before="120" w:after="80"/>
        <w:jc w:val="both"/>
      </w:pPr>
      <w:r>
        <w:rPr>
          <w:rFonts w:ascii="Tahoma" w:hAnsi="Tahoma" w:cs="Tahoma"/>
          <w:b/>
          <w:sz w:val="24"/>
        </w:rPr>
        <w:t>¿Cuál es la mejor decisión? Realice una discusión de resultados para argumentar su elección.</w:t>
      </w:r>
    </w:p>
    <w:p>
      <w:pPr/>
    </w:p>
    <w:p>
      <w:pPr>
        <w:spacing w:before="40" w:after="40"/>
      </w:pPr>
      <w:r>
        <w:rPr>
          <w:rFonts w:ascii="Tahoma" w:hAnsi="Tahoma" w:cs="Tahoma"/>
          <w:b/>
          <w:color w:val="9E1218"/>
          <w:sz w:val="24"/>
        </w:rPr>
        <w:t>Respuesta:</w:t>
      </w:r>
    </w:p>
    <w:p>
      <w:pPr/>
    </w:p>
    <w:p>
      <w:pPr/>
    </w:p>
    <w:p>
      <w:pPr/>
    </w:p>
    <w:p>
      <w:pPr/>
    </w:p>
    <w:p>
      <w:pPr/>
    </w:p>
    <w:p>
      <w:pPr>
        <w:keepNext/>
        <w:spacing w:before="280" w:after="80"/>
      </w:pPr>
      <w:r>
        <w:rPr>
          <w:rFonts w:ascii="Tahoma" w:hAnsi="Tahoma" w:cs="Tahoma"/>
          <w:b/>
          <w:color w:val="9E1218"/>
          <w:sz w:val="24"/>
        </w:rPr>
        <w:t xml:space="preserve">Caso 3: </w:t>
      </w:r>
      <w:r>
        <w:rPr>
          <w:rFonts w:ascii="Tahoma" w:hAnsi="Tahoma" w:cs="Tahoma"/>
          <w:b/>
          <w:sz w:val="24"/>
        </w:rPr>
        <w:t>Estrategia de expansión para la clínica veterinaria “Huellitas”</w:t>
      </w:r>
    </w:p>
    <w:p>
      <w:pPr>
        <w:keepNext/>
      </w:pPr>
      <w:r>
        <w:rPr>
          <w:rFonts w:ascii="Tahoma" w:hAnsi="Tahoma" w:cs="Tahoma"/>
          <w:i/>
          <w:color w:val="595959"/>
          <w:sz w:val="24"/>
        </w:rPr>
        <w:t>Teoría de decisión – árbol con recurso, dos niveles</w:t>
      </w:r>
    </w:p>
    <w:p>
      <w:pPr>
        <w:spacing w:after="160"/>
        <w:jc w:val="both"/>
      </w:pPr>
      <w:r>
        <w:rPr>
          <w:rFonts w:ascii="Tahoma" w:hAnsi="Tahoma" w:cs="Tahoma"/>
          <w:sz w:val="24"/>
        </w:rPr>
        <w:t>Una clínica veterinaria evalúa si continuar operando únicamente con su consultorio presencial, obteniendo una utilidad anual segura de S/ 140,000, o lanzar un servicio de telemedicina veterinaria con planes de suscripción, para lo cual deberá asumir costos iniciales de desarrollo de la plataforma y marketing por S/ 40,000. Las ganancias y pérdidas que se indican a continuación no incluyen este costo inicial.</w:t>
      </w:r>
    </w:p>
    <w:p>
      <w:pPr>
        <w:spacing w:after="160"/>
        <w:jc w:val="both"/>
      </w:pPr>
      <w:r>
        <w:rPr>
          <w:rFonts w:ascii="Tahoma" w:hAnsi="Tahoma" w:cs="Tahoma"/>
          <w:sz w:val="24"/>
        </w:rPr>
        <w:t>Si decide lanzar el servicio, existe una probabilidad de 60% de lograr una alta aceptación entre los clientes, generando una ganancia de S/ 240,000. Sin embargo, existe una probabilidad de 40% de no alcanzar la aceptación esperada, situación en la que deberá decidir entre lanzar una campaña de descuentos para atraer más suscriptores o cancelar el servicio.</w:t>
      </w:r>
    </w:p>
    <w:p>
      <w:pPr>
        <w:spacing w:after="160"/>
        <w:jc w:val="both"/>
      </w:pPr>
      <w:r>
        <w:rPr>
          <w:rFonts w:ascii="Tahoma" w:hAnsi="Tahoma" w:cs="Tahoma"/>
          <w:sz w:val="24"/>
        </w:rPr>
        <w:t>Si decide lanzar la campaña de descuentos, el mercado podría responder favorablemente, con una probabilidad de 50%, generando una utilidad de S/ 200,000, o desfavorablemente, con una probabilidad de 50%, generando una utilidad de S/ 60,000.</w:t>
      </w:r>
    </w:p>
    <w:p>
      <w:pPr>
        <w:spacing w:after="160"/>
        <w:jc w:val="both"/>
      </w:pPr>
      <w:r>
        <w:rPr>
          <w:rFonts w:ascii="Tahoma" w:hAnsi="Tahoma" w:cs="Tahoma"/>
          <w:sz w:val="24"/>
        </w:rPr>
        <w:t>Si decide cancelar el servicio, luego de cubrir penalidades contractuales y liquidar los equipos, tendría una pérdida neta de S/ 20,000.</w:t>
      </w:r>
    </w:p>
    <w:p>
      <w:pPr>
        <w:keepNext/>
        <w:spacing w:before="120" w:after="80"/>
        <w:jc w:val="both"/>
      </w:pPr>
      <w:r>
        <w:rPr>
          <w:rFonts w:ascii="Tahoma" w:hAnsi="Tahoma" w:cs="Tahoma"/>
          <w:b/>
          <w:sz w:val="24"/>
        </w:rPr>
        <w:t>Construya el árbol de decisión con todos sus elementos.</w:t>
      </w: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p>
    <w:p>
      <w:pPr/>
    </w:p>
    <w:p>
      <w:pPr/>
    </w:p>
    <w:p>
      <w:pPr/>
    </w:p>
    <w:p>
      <w:pPr>
        <w:keepNext/>
        <w:spacing w:before="120" w:after="80"/>
        <w:jc w:val="both"/>
      </w:pPr>
      <w:r>
        <w:rPr>
          <w:rFonts w:ascii="Tahoma" w:hAnsi="Tahoma" w:cs="Tahoma"/>
          <w:b/>
          <w:sz w:val="24"/>
        </w:rPr>
        <w:t>Desarrolle el criterio del valor esperado realizando los cálculos necesarios y tome la decisión que corresponda en cada nodo.</w:t>
      </w: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keepNext/>
        <w:spacing w:before="120" w:after="80"/>
        <w:jc w:val="both"/>
      </w:pPr>
      <w:r>
        <w:rPr>
          <w:rFonts w:ascii="Tahoma" w:hAnsi="Tahoma" w:cs="Tahoma"/>
          <w:b/>
          <w:sz w:val="24"/>
        </w:rPr>
        <w:t>¿Qué posibles estrategias se pueden seguir a partir del árbol construido?</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¿Cuál es la mejor estrategia? Sustente su respuesta.</w:t>
      </w:r>
    </w:p>
    <w:p>
      <w:pPr>
        <w:spacing w:before="40" w:after="40"/>
      </w:pPr>
      <w:r>
        <w:rPr>
          <w:rFonts w:ascii="Tahoma" w:hAnsi="Tahoma" w:cs="Tahoma"/>
          <w:b/>
          <w:color w:val="9E1218"/>
          <w:sz w:val="24"/>
        </w:rPr>
        <w:t>Respuesta:</w:t>
      </w:r>
    </w:p>
    <w:p>
      <w:pPr/>
    </w:p>
    <w:p>
      <w:pPr/>
    </w:p>
    <w:p>
      <w:pPr/>
    </w:p>
    <w:p>
      <w:pPr/>
    </w:p>
    <w:p>
      <w:pPr/>
    </w:p>
    <w:sectPr w:rsidR="00531D41" w:rsidRPr="004E7147" w:rsidSect="00FA0D8C">
      <w:headerReference w:type="default" r:id="rId131"/>
      <w:footerReference w:type="default" r:id="rId132"/>
      <w:pgSz w:w="11906" w:h="16838"/>
      <w:pgMar w:top="720" w:right="1133" w:bottom="7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F5EB8" w14:textId="77777777" w:rsidR="00655A24" w:rsidRDefault="00655A24">
      <w:pPr>
        <w:spacing w:after="0" w:line="240" w:lineRule="auto"/>
      </w:pPr>
      <w:r>
        <w:separator/>
      </w:r>
    </w:p>
  </w:endnote>
  <w:endnote w:type="continuationSeparator" w:id="0">
    <w:p w14:paraId="3D4C6B3B" w14:textId="77777777" w:rsidR="00655A24" w:rsidRDefault="0065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E78D1" w14:textId="1402F450" w:rsidR="00531D41" w:rsidRPr="00466C97" w:rsidRDefault="00DE003B" w:rsidP="00DE003B">
    <w:pPr>
      <w:pBdr>
        <w:top w:val="single" w:sz="4" w:space="6" w:color="ED1C24"/>
      </w:pBdr>
      <w:jc w:val="center"/>
      <w:rPr>
        <w:rFonts w:ascii="Tahoma" w:hAnsi="Tahoma" w:cs="Tahoma"/>
        <w:sz w:val="18"/>
        <w:szCs w:val="18"/>
      </w:rPr>
    </w:pPr>
    <w:r w:rsidRPr="00466C97">
      <w:rPr>
        <w:rFonts w:ascii="Tahoma" w:eastAsia="Calibri" w:hAnsi="Tahoma" w:cs="Tahoma"/>
        <w:color w:val="595959"/>
        <w:sz w:val="18"/>
        <w:szCs w:val="18"/>
      </w:rPr>
      <w:t xml:space="preserve">Universidad Peruana de </w:t>
    </w:r>
    <w:proofErr w:type="spellStart"/>
    <w:r w:rsidRPr="00466C97">
      <w:rPr>
        <w:rFonts w:ascii="Tahoma" w:eastAsia="Calibri" w:hAnsi="Tahoma" w:cs="Tahoma"/>
        <w:color w:val="595959"/>
        <w:sz w:val="18"/>
        <w:szCs w:val="18"/>
      </w:rPr>
      <w:t>Ciencias</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Aplicadas</w:t>
    </w:r>
    <w:proofErr w:type="spellEnd"/>
    <w:r w:rsidRPr="00466C97">
      <w:rPr>
        <w:rFonts w:ascii="Tahoma" w:eastAsia="Calibri" w:hAnsi="Tahoma" w:cs="Tahoma"/>
        <w:color w:val="595959"/>
        <w:sz w:val="18"/>
        <w:szCs w:val="18"/>
      </w:rPr>
      <w:t xml:space="preserve">   •   </w:t>
    </w:r>
    <w:proofErr w:type="spellStart"/>
    <w:r w:rsidRPr="00466C97">
      <w:rPr>
        <w:rFonts w:ascii="Tahoma" w:eastAsia="Calibri" w:hAnsi="Tahoma" w:cs="Tahoma"/>
        <w:color w:val="595959"/>
        <w:sz w:val="18"/>
        <w:szCs w:val="18"/>
      </w:rPr>
      <w:t>Sesión</w:t>
    </w:r>
    <w:proofErr w:type="spellEnd"/>
    <w:r w:rsidRPr="00466C97">
      <w:rPr>
        <w:rFonts w:ascii="Tahoma" w:eastAsia="Calibri" w:hAnsi="Tahoma" w:cs="Tahoma"/>
        <w:color w:val="595959"/>
        <w:sz w:val="18"/>
        <w:szCs w:val="18"/>
      </w:rPr>
      <w:t xml:space="preserve"> con </w:t>
    </w:r>
    <w:proofErr w:type="spellStart"/>
    <w:r w:rsidRPr="00466C97">
      <w:rPr>
        <w:rFonts w:ascii="Tahoma" w:eastAsia="Calibri" w:hAnsi="Tahoma" w:cs="Tahoma"/>
        <w:color w:val="595959"/>
        <w:sz w:val="18"/>
        <w:szCs w:val="18"/>
      </w:rPr>
      <w:t>el</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asistente</w:t>
    </w:r>
    <w:proofErr w:type="spellEnd"/>
    <w:r w:rsidRPr="00466C97">
      <w:rPr>
        <w:rFonts w:ascii="Tahoma" w:eastAsia="Calibri" w:hAnsi="Tahoma" w:cs="Tahoma"/>
        <w:color w:val="595959"/>
        <w:sz w:val="18"/>
        <w:szCs w:val="18"/>
      </w:rPr>
      <w:t xml:space="preserve"> de </w:t>
    </w:r>
    <w:proofErr w:type="spellStart"/>
    <w:r w:rsidRPr="00466C97">
      <w:rPr>
        <w:rFonts w:ascii="Tahoma" w:eastAsia="Calibri" w:hAnsi="Tahoma" w:cs="Tahoma"/>
        <w:color w:val="595959"/>
        <w:sz w:val="18"/>
        <w:szCs w:val="18"/>
      </w:rPr>
      <w:t>aprendizaje</w:t>
    </w:r>
    <w:proofErr w:type="spellEnd"/>
    <w:r w:rsidRPr="00466C97">
      <w:rPr>
        <w:rFonts w:ascii="Tahoma" w:eastAsia="Calibri" w:hAnsi="Tahoma" w:cs="Tahoma"/>
        <w:color w:val="595959"/>
        <w:sz w:val="18"/>
        <w:szCs w:val="18"/>
      </w:rPr>
      <w:t xml:space="preserve"> a </w:t>
    </w:r>
    <w:proofErr w:type="spellStart"/>
    <w:r w:rsidRPr="00466C97">
      <w:rPr>
        <w:rFonts w:ascii="Tahoma" w:eastAsia="Calibri" w:hAnsi="Tahoma" w:cs="Tahoma"/>
        <w:color w:val="595959"/>
        <w:sz w:val="18"/>
        <w:szCs w:val="18"/>
      </w:rPr>
      <w:t>distancia</w:t>
    </w:r>
    <w:proofErr w:type="spellEnd"/>
    <w:r w:rsidRPr="00466C97">
      <w:rPr>
        <w:rFonts w:ascii="Tahoma" w:eastAsia="Calibri" w:hAnsi="Tahoma" w:cs="Tahoma"/>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63ED6" w14:textId="77777777" w:rsidR="00655A24" w:rsidRDefault="00655A24">
      <w:pPr>
        <w:spacing w:after="0" w:line="240" w:lineRule="auto"/>
      </w:pPr>
      <w:r>
        <w:separator/>
      </w:r>
    </w:p>
  </w:footnote>
  <w:footnote w:type="continuationSeparator" w:id="0">
    <w:p w14:paraId="133B052B" w14:textId="77777777" w:rsidR="00655A24" w:rsidRDefault="00655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FA0D8C" w14:paraId="181C9DA9" w14:textId="77777777" w:rsidTr="00654A27">
      <w:tc>
        <w:tcPr>
          <w:tcW w:w="700" w:type="dxa"/>
          <w:tcMar>
            <w:top w:w="0" w:type="dxa"/>
            <w:left w:w="0" w:type="dxa"/>
            <w:bottom w:w="0" w:type="dxa"/>
            <w:right w:w="120" w:type="dxa"/>
          </w:tcMar>
          <w:vAlign w:val="center"/>
        </w:tcPr>
        <w:p w14:paraId="25EBDAF5" w14:textId="77777777" w:rsidR="00FA0D8C" w:rsidRPr="007C2092" w:rsidRDefault="00FA0D8C" w:rsidP="007C2092">
          <w:pPr>
            <w:spacing w:line="240" w:lineRule="auto"/>
            <w:rPr>
              <w:rFonts w:ascii="Tahoma" w:hAnsi="Tahoma" w:cs="Tahoma"/>
              <w:szCs w:val="20"/>
            </w:rPr>
          </w:pPr>
          <w:r w:rsidRPr="007C2092">
            <w:rPr>
              <w:rFonts w:ascii="Tahoma" w:hAnsi="Tahoma" w:cs="Tahoma"/>
              <w:noProof/>
              <w:szCs w:val="20"/>
            </w:rPr>
            <w:drawing>
              <wp:inline distT="0" distB="0" distL="0" distR="0" wp14:anchorId="1CD909BB" wp14:editId="6504F584">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5F3F3D39" w14:textId="0E375B28" w:rsidR="00FA0D8C" w:rsidRPr="007754CC" w:rsidRDefault="00FA0D8C" w:rsidP="007C2092">
          <w:pPr>
            <w:spacing w:line="240" w:lineRule="auto"/>
            <w:rPr>
              <w:rFonts w:ascii="Tahoma" w:eastAsia="Calibri" w:hAnsi="Tahoma" w:cs="Tahoma"/>
              <w:color w:val="ED1C24"/>
              <w:szCs w:val="20"/>
            </w:rPr>
          </w:pPr>
          <w:r w:rsidRPr="007C2092">
            <w:rPr>
              <w:rFonts w:ascii="Tahoma" w:eastAsia="Calibri" w:hAnsi="Tahoma" w:cs="Tahoma"/>
              <w:color w:val="ED1C24"/>
              <w:szCs w:val="20"/>
            </w:rPr>
            <w:t>1AMA</w:t>
          </w:r>
          <w:proofErr w:type="gramStart"/>
          <w:r w:rsidRPr="007C2092">
            <w:rPr>
              <w:rFonts w:ascii="Tahoma" w:eastAsia="Calibri" w:hAnsi="Tahoma" w:cs="Tahoma"/>
              <w:color w:val="ED1C24"/>
              <w:szCs w:val="20"/>
            </w:rPr>
            <w:t>0368  ·</w:t>
          </w:r>
          <w:proofErr w:type="gram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00DE003B" w:rsidRPr="007C2092">
            <w:rPr>
              <w:rFonts w:ascii="Tahoma" w:eastAsia="Calibri" w:hAnsi="Tahoma" w:cs="Tahoma"/>
              <w:color w:val="ED1C24"/>
              <w:szCs w:val="20"/>
            </w:rPr>
            <w:t xml:space="preserve">   </w:t>
          </w:r>
          <w:r w:rsidR="007754CC">
            <w:rPr>
              <w:rFonts w:ascii="Tahoma" w:eastAsia="Calibri" w:hAnsi="Tahoma" w:cs="Tahoma"/>
              <w:color w:val="ED1C24"/>
              <w:szCs w:val="20"/>
            </w:rPr>
            <w:t xml:space="preserve">                                          </w:t>
          </w:r>
          <w:proofErr w:type="spellStart"/>
          <w:r w:rsidR="007754CC" w:rsidRPr="007C2092">
            <w:rPr>
              <w:rFonts w:ascii="Tahoma" w:eastAsia="Calibri" w:hAnsi="Tahoma" w:cs="Tahoma"/>
              <w:color w:val="595959"/>
              <w:szCs w:val="20"/>
            </w:rPr>
            <w:t>Sustentación</w:t>
          </w:r>
          <w:proofErr w:type="spellEnd"/>
          <w:r w:rsidR="007754CC" w:rsidRPr="007C2092">
            <w:rPr>
              <w:rFonts w:ascii="Tahoma" w:eastAsia="Calibri" w:hAnsi="Tahoma" w:cs="Tahoma"/>
              <w:color w:val="595959"/>
              <w:szCs w:val="20"/>
            </w:rPr>
            <w:t xml:space="preserve">  •  Semana 6</w:t>
          </w:r>
        </w:p>
      </w:tc>
    </w:tr>
  </w:tbl>
  <w:p w14:paraId="47E91639" w14:textId="77777777" w:rsidR="00FA0D8C" w:rsidRDefault="00FA0D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552C8B"/>
    <w:multiLevelType w:val="hybridMultilevel"/>
    <w:tmpl w:val="CBA4D6E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36658883">
    <w:abstractNumId w:val="8"/>
  </w:num>
  <w:num w:numId="2" w16cid:durableId="921718138">
    <w:abstractNumId w:val="6"/>
  </w:num>
  <w:num w:numId="3" w16cid:durableId="462312440">
    <w:abstractNumId w:val="5"/>
  </w:num>
  <w:num w:numId="4" w16cid:durableId="768350171">
    <w:abstractNumId w:val="4"/>
  </w:num>
  <w:num w:numId="5" w16cid:durableId="276717263">
    <w:abstractNumId w:val="7"/>
  </w:num>
  <w:num w:numId="6" w16cid:durableId="1486435554">
    <w:abstractNumId w:val="3"/>
  </w:num>
  <w:num w:numId="7" w16cid:durableId="521824057">
    <w:abstractNumId w:val="2"/>
  </w:num>
  <w:num w:numId="8" w16cid:durableId="1309238605">
    <w:abstractNumId w:val="1"/>
  </w:num>
  <w:num w:numId="9" w16cid:durableId="1342509664">
    <w:abstractNumId w:val="0"/>
  </w:num>
  <w:num w:numId="10" w16cid:durableId="1544634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F9B"/>
    <w:rsid w:val="0029639D"/>
    <w:rsid w:val="00326F90"/>
    <w:rsid w:val="00405B5E"/>
    <w:rsid w:val="00416F97"/>
    <w:rsid w:val="00441D68"/>
    <w:rsid w:val="00466C97"/>
    <w:rsid w:val="004C5A9F"/>
    <w:rsid w:val="004E7147"/>
    <w:rsid w:val="00527CD5"/>
    <w:rsid w:val="00531D41"/>
    <w:rsid w:val="005654B7"/>
    <w:rsid w:val="006462D4"/>
    <w:rsid w:val="00655A24"/>
    <w:rsid w:val="006C04F2"/>
    <w:rsid w:val="007754CC"/>
    <w:rsid w:val="007C2092"/>
    <w:rsid w:val="00840764"/>
    <w:rsid w:val="00852846"/>
    <w:rsid w:val="008F1106"/>
    <w:rsid w:val="00920F1A"/>
    <w:rsid w:val="00996E97"/>
    <w:rsid w:val="009B510A"/>
    <w:rsid w:val="00A15E12"/>
    <w:rsid w:val="00AA1D8D"/>
    <w:rsid w:val="00AC4F2A"/>
    <w:rsid w:val="00AD766A"/>
    <w:rsid w:val="00B40730"/>
    <w:rsid w:val="00B47730"/>
    <w:rsid w:val="00BB5D21"/>
    <w:rsid w:val="00BB7933"/>
    <w:rsid w:val="00CB0664"/>
    <w:rsid w:val="00D16C4D"/>
    <w:rsid w:val="00D66B10"/>
    <w:rsid w:val="00D90C6C"/>
    <w:rsid w:val="00DB5761"/>
    <w:rsid w:val="00DE003B"/>
    <w:rsid w:val="00E0038A"/>
    <w:rsid w:val="00E03D7E"/>
    <w:rsid w:val="00E26510"/>
    <w:rsid w:val="00E42BDC"/>
    <w:rsid w:val="00EA54A1"/>
    <w:rsid w:val="00F7578D"/>
    <w:rsid w:val="00FA0D8C"/>
    <w:rsid w:val="00FB5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A907B9"/>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13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7" Type="http://schemas.openxmlformats.org/officeDocument/2006/relationships/endnotes" Target="endnotes.xml"/><Relationship Id="rId2" Type="http://schemas.openxmlformats.org/officeDocument/2006/relationships/numbering" Target="numbering.xml"/><Relationship Id="rId131" Type="http://schemas.openxmlformats.org/officeDocument/2006/relationships/header" Target="header1.xml"/><Relationship Id="rId3" Type="http://schemas.openxmlformats.org/officeDocument/2006/relationships/styles" Target="styles.xml"/><Relationship Id="rId132" Type="http://schemas.openxmlformats.org/officeDocument/2006/relationships/footer" Target="footer1.xml"/><Relationship Id="rId4" Type="http://schemas.openxmlformats.org/officeDocument/2006/relationships/settings" Target="settings.xml"/><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1583</Words>
  <Characters>8711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Semana 7 – Hoja del estudiante</dc:title>
  <dc:subject/>
  <dc:creator>python-docx</dc:creator>
  <cp:keywords/>
  <dc:description>generated by python-docx</dc:description>
  <cp:lastModifiedBy>PILAR SAYAN MEJIA</cp:lastModifiedBy>
  <cp:revision>26</cp:revision>
  <dcterms:created xsi:type="dcterms:W3CDTF">2013-12-23T23:15:00Z</dcterms:created>
  <dcterms:modified xsi:type="dcterms:W3CDTF">2026-09-26T00:55:00Z</dcterms:modified>
  <cp:category/>
</cp:coreProperties>
</file>