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val="clear" w:color="auto" w:fill="1F3864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TECSUP  |  Pasión por la Tecnología</w:t>
            </w:r>
          </w:p>
        </w:tc>
      </w:tr>
      <w:tr>
        <w:tc>
          <w:tcPr>
            <w:tcW w:type="dxa" w:w="9638"/>
            <w:shd w:val="clear" w:color="auto" w:fill="2E75B6"/>
            <w:tcMar>
              <w:top w:w="100" w:type="dxa"/>
              <w:bottom w:w="1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LABORATORIO CALIFICADO N° 07</w:t>
              <w:br/>
            </w:r>
            <w:r>
              <w:rPr>
                <w:color w:val="FFFFFF"/>
                <w:sz w:val="22"/>
              </w:rPr>
              <w:t>Semana 15  |  2026-I  |  Fundamentos de Gestión de Datos</w:t>
              <w:br/>
            </w:r>
            <w:r>
              <w:rPr>
                <w:color w:val="FFFFFF"/>
                <w:sz w:val="22"/>
              </w:rPr>
              <w:t>Docente: Pilar Rocío Sayán Mejía  |  Grupal de 4 estudiantes – 2 horas</w:t>
              <w:br/>
            </w:r>
            <w:r>
              <w:rPr>
                <w:color w:val="FFFFFF"/>
                <w:sz w:val="22"/>
              </w:rPr>
              <w:t>Entregable: Notebook .ipynb en Colab + este documento resuelto</w:t>
            </w:r>
          </w:p>
        </w:tc>
      </w:tr>
    </w:tbl>
    <w:p/>
    <w:p>
      <w:pPr>
        <w:spacing w:before="120" w:after="80"/>
      </w:pPr>
      <w:r>
        <w:rPr>
          <w:b/>
          <w:color w:val="1F3864"/>
          <w:sz w:val="24"/>
        </w:rPr>
        <w:t>I. ELEMENTO DE LA CAPACIDAD TERMINAL</w:t>
      </w:r>
    </w:p>
    <w:p>
      <w:pPr>
        <w:spacing w:before="20" w:after="40"/>
      </w:pPr>
      <w:r>
        <w:rPr>
          <w:b w:val="0"/>
          <w:sz w:val="22"/>
        </w:rPr>
        <w:t>Evalúa la calidad de datos en 5 dimensiones (completitud, exactitud, consistencia, unicidad, oportunidad), implementa un pipeline de corrección con funciones especializadas, y diseña un marco de gobierno de datos basado en DAMA-DMBOK con roles y políticas aplicadas al sector bancario.</w:t>
      </w:r>
    </w:p>
    <w:p>
      <w:pPr>
        <w:spacing w:before="120" w:after="80"/>
      </w:pPr>
      <w:r>
        <w:rPr>
          <w:b/>
          <w:color w:val="1F3864"/>
          <w:sz w:val="24"/>
        </w:rPr>
        <w:t>II. SEGURIDAD</w:t>
      </w:r>
    </w:p>
    <w:p>
      <w:pPr>
        <w:pStyle w:val="ListBullet"/>
        <w:spacing w:before="20" w:after="20"/>
      </w:pPr>
      <w:r>
        <w:rPr>
          <w:sz w:val="22"/>
        </w:rPr>
        <w:t>Está prohibida la manipulación de hardware sin supervisión.</w:t>
      </w:r>
    </w:p>
    <w:p>
      <w:pPr>
        <w:pStyle w:val="ListBullet"/>
        <w:spacing w:before="20" w:after="20"/>
      </w:pPr>
      <w:r>
        <w:rPr>
          <w:sz w:val="22"/>
        </w:rPr>
        <w:t>No consumir alimentos ni bebidas durante la sesión.</w:t>
      </w:r>
    </w:p>
    <w:p>
      <w:pPr>
        <w:pStyle w:val="ListBullet"/>
        <w:spacing w:before="20" w:after="20"/>
      </w:pPr>
      <w:r>
        <w:rPr>
          <w:sz w:val="22"/>
        </w:rPr>
        <w:t>Todo el código se ejecuta ÚNICAMENTE en Google Colab.</w:t>
      </w:r>
    </w:p>
    <w:p>
      <w:pPr>
        <w:spacing w:before="120" w:after="80"/>
      </w:pPr>
      <w:r>
        <w:rPr>
          <w:b/>
          <w:color w:val="1F3864"/>
          <w:sz w:val="24"/>
        </w:rPr>
        <w:t>III. FUNDAMENTO TEÓRICO</w:t>
      </w:r>
    </w:p>
    <w:p>
      <w:pPr>
        <w:pStyle w:val="ListBullet"/>
        <w:spacing w:before="20" w:after="20"/>
      </w:pPr>
      <w:r>
        <w:rPr>
          <w:sz w:val="22"/>
        </w:rPr>
        <w:t>DAMA International (2017). DAMA-DMBOK. Technics Publications. Caps. 2 y 13</w:t>
      </w:r>
    </w:p>
    <w:p>
      <w:pPr>
        <w:pStyle w:val="ListBullet"/>
        <w:spacing w:before="20" w:after="20"/>
      </w:pPr>
      <w:r>
        <w:rPr>
          <w:sz w:val="22"/>
        </w:rPr>
        <w:t>Loshin, D. (2010). Master Data Management. Morgan Kaufmann. Cap. 4</w:t>
      </w:r>
    </w:p>
    <w:p>
      <w:pPr>
        <w:pStyle w:val="ListBullet"/>
        <w:spacing w:before="20" w:after="20"/>
      </w:pPr>
      <w:r>
        <w:rPr>
          <w:sz w:val="22"/>
        </w:rPr>
        <w:t>IBM Data Quality Framework: https://www.ibm.com/topics/data-quality</w:t>
      </w:r>
    </w:p>
    <w:p>
      <w:pPr>
        <w:pStyle w:val="ListBullet"/>
        <w:spacing w:before="20" w:after="20"/>
      </w:pPr>
      <w:r>
        <w:rPr>
          <w:sz w:val="22"/>
        </w:rPr>
        <w:t>Diapositivas de la Semana 15 del curso</w:t>
      </w:r>
    </w:p>
    <w:p>
      <w:pPr>
        <w:spacing w:before="20" w:after="40"/>
      </w:pPr>
      <w:r>
        <w:rPr>
          <w:b w:val="0"/>
          <w:sz w:val="22"/>
        </w:rPr>
        <w:t>Conceptos clave: calidad de datos (5 dimensiones), pipeline de corrección, normalización de nombres, Data Owner, Data Steward, DAMA-DMBOK, políticas de datos, gobierno de datos.</w:t>
      </w:r>
    </w:p>
    <w:p>
      <w:pPr>
        <w:spacing w:before="120" w:after="80"/>
      </w:pPr>
      <w:r>
        <w:rPr>
          <w:b/>
          <w:color w:val="1F3864"/>
          <w:sz w:val="24"/>
        </w:rPr>
        <w:t>IV. RECURSOS</w:t>
      </w:r>
    </w:p>
    <w:p>
      <w:pPr>
        <w:pStyle w:val="ListBullet"/>
        <w:spacing w:before="20" w:after="20"/>
      </w:pPr>
      <w:r>
        <w:rPr>
          <w:sz w:val="22"/>
        </w:rPr>
        <w:t>Google Colab con Python 3.x, pandas, numpy, matplotlib, seaborn, sqlite3, re</w:t>
      </w:r>
    </w:p>
    <w:p>
      <w:pPr>
        <w:pStyle w:val="ListBullet"/>
        <w:spacing w:before="20" w:after="20"/>
      </w:pPr>
      <w:r>
        <w:rPr>
          <w:sz w:val="22"/>
        </w:rPr>
        <w:t>Notebook: LAB-C7-FGD-PSAYAN-2026.ipynb</w:t>
      </w:r>
    </w:p>
    <w:p>
      <w:pPr>
        <w:spacing w:before="120" w:after="80"/>
      </w:pPr>
      <w:r>
        <w:rPr>
          <w:b/>
          <w:color w:val="1F3864"/>
          <w:sz w:val="24"/>
        </w:rPr>
        <w:t>V. METODOLOGÍA PARA EL DESARROLLO</w:t>
      </w:r>
    </w:p>
    <w:p>
      <w:pPr>
        <w:spacing w:before="20" w:after="40"/>
      </w:pPr>
      <w:r>
        <w:rPr>
          <w:b w:val="0"/>
          <w:sz w:val="22"/>
        </w:rPr>
        <w:t>El laboratorio se desarrolla en grupos de 4 estudiantes.</w:t>
      </w:r>
    </w:p>
    <w:p>
      <w:pPr>
        <w:spacing w:before="20" w:after="40"/>
      </w:pPr>
      <w:r>
        <w:rPr>
          <w:b/>
          <w:sz w:val="22"/>
        </w:rPr>
        <w:t>Roles sugeridos:</w:t>
      </w:r>
    </w:p>
    <w:p>
      <w:pPr>
        <w:pStyle w:val="ListBullet"/>
        <w:spacing w:before="20" w:after="20"/>
      </w:pPr>
      <w:r>
        <w:rPr>
          <w:sz w:val="22"/>
        </w:rPr>
        <w:t>Líder de datos: coordina el pipeline de calidad y verifica el cumplimiento normativo.</w:t>
      </w:r>
    </w:p>
    <w:p>
      <w:pPr>
        <w:pStyle w:val="ListBullet"/>
        <w:spacing w:before="20" w:after="20"/>
      </w:pPr>
      <w:r>
        <w:rPr>
          <w:sz w:val="22"/>
        </w:rPr>
        <w:t>Ingeniero de código: implementa las funciones de corrección y el pipeline.</w:t>
      </w:r>
    </w:p>
    <w:p>
      <w:pPr>
        <w:pStyle w:val="ListBullet"/>
        <w:spacing w:before="20" w:after="20"/>
      </w:pPr>
      <w:r>
        <w:rPr>
          <w:sz w:val="22"/>
        </w:rPr>
        <w:t>Analista del caso: evalúa las dimensiones de calidad y redacta las respuestas reflexivas.</w:t>
      </w:r>
    </w:p>
    <w:p>
      <w:pPr>
        <w:pStyle w:val="ListBullet"/>
        <w:spacing w:before="20" w:after="20"/>
      </w:pPr>
      <w:r>
        <w:rPr>
          <w:sz w:val="22"/>
        </w:rPr>
        <w:t>Documentador/Presentador: garantiza la calidad del documento y conclusiones grupales.</w:t>
      </w:r>
    </w:p>
    <w:p>
      <w:pPr>
        <w:spacing w:before="120" w:after="80"/>
      </w:pPr>
      <w:r>
        <w:rPr>
          <w:b/>
          <w:color w:val="1F3864"/>
          <w:sz w:val="24"/>
        </w:rPr>
        <w:t>VI. PROCEDIMIENTO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3F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b/>
              </w:rPr>
              <w:t>EL CASO: 'Rescatando la Confianza en BancoSur'</w:t>
              <w:br/>
            </w:r>
            <w:r>
              <w:rPr>
                <w:sz w:val="22"/>
              </w:rPr>
              <w:t>Marcos Díaz, Chief Data Officer en BancoSur (45 sucursales en el sur del Perú). Ha absorbido 3 cooperativas con sistemas incompatibles. La SBS detectó en la última auditoría:</w:t>
              <w:br/>
              <w:t>- 12% de RUCs inválidos</w:t>
              <w:br/>
              <w:t>- 8% de registros duplicados</w:t>
              <w:br/>
              <w:t>- Campos obligatorios vacíos en el 15% de clientes</w:t>
              <w:br/>
              <w:br/>
              <w:t>BancoSur tiene 30 días para presentar un plan de mejora o enfrenta multas y restricciones operativas.</w:t>
              <w:br/>
              <w:t>Marcos necesita: reporte de calidad en 5 dimensiones + pipeline de corrección + marco de gobierno con roles y políticas.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1: Revisión de Conceptos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321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Respuesta del grupo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la calidad de datos? ¿Por qué es crítica en un banco regulado?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mide la dimensión 'completitud'? Ejemplo con el 15% de campos vacíos en BancoSur.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mide la dimensión 'exactitud'? Ejemplo con el 12% de RUCs inválidos.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mide la dimensión 'consistencia'? Ejemplo con nombres duplicados con variantes.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mide la dimensión 'unicidad'? ¿Qué tolerancia tiene la SBS sobre duplicados?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mide la dimensión 'oportunidad'? Ejemplo con fechas en BancoSur.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1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el marco DAMA-DMBOK? Mencionen 3 áreas de conocimiento.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¿Qué es un Data Steward? ¿Cuáles serían sus 3 responsabilidades en BancoSur?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80" w:type="dxa"/>
              <w:right w:w="120" w:type="dxa"/>
            </w:tcMar>
          </w:tcPr>
          <w:p>
            <w:r>
              <w:rPr>
                <w:sz w:val="40"/>
              </w:rPr>
              <w:t xml:space="preserve"> </w:t>
            </w:r>
          </w:p>
        </w:tc>
      </w:tr>
    </w:tbl>
    <w:p/>
    <w:p>
      <w:pPr>
        <w:spacing w:before="120"/>
      </w:pPr>
      <w:r>
        <w:rPr>
          <w:b/>
          <w:color w:val="2E75B6"/>
          <w:sz w:val="22"/>
        </w:rPr>
        <w:t>ACTIVIDAD 2: Desarrollo Práctico en Google Colab</w:t>
      </w:r>
    </w:p>
    <w:p>
      <w:pPr>
        <w:spacing w:before="20" w:after="40"/>
        <w:ind w:left="283"/>
      </w:pPr>
      <w:r>
        <w:rPr>
          <w:b/>
          <w:sz w:val="22"/>
        </w:rPr>
        <w:t>Paso 1 – Generar dataset sintético de 400 clientes BancoSur con RUCs inválidos, nombres duplicados, campos nulos y fechas desactualizadas</w:t>
      </w:r>
    </w:p>
    <w:p>
      <w:pPr>
        <w:spacing w:before="20" w:after="40"/>
        <w:ind w:left="283"/>
      </w:pPr>
      <w:r>
        <w:rPr>
          <w:b w:val="0"/>
          <w:sz w:val="22"/>
        </w:rPr>
        <w:t>P1: ¿Cuántos registros tienen RUCs con formato incorrecto? ¿Cuántos tienen campos nulos?</w:t>
      </w:r>
    </w:p>
    <w:p/>
    <w:p>
      <w:pPr>
        <w:spacing w:before="20" w:after="40"/>
        <w:ind w:left="283"/>
      </w:pPr>
      <w:r>
        <w:rPr>
          <w:b/>
          <w:sz w:val="22"/>
        </w:rPr>
        <w:t>Paso 2 – Calcular y documentar el score de calidad en las 5 dimensiones: completitud, exactitud (RUCs), consistencia (nombres), unicidad (duplicados), oportunidad (fechas)</w:t>
      </w:r>
    </w:p>
    <w:p>
      <w:pPr>
        <w:spacing w:before="20" w:after="40"/>
        <w:ind w:left="283"/>
      </w:pPr>
      <w:r>
        <w:rPr>
          <w:b w:val="0"/>
          <w:sz w:val="22"/>
        </w:rPr>
        <w:t>P2: ¿Qué dimensión tiene el score más bajo? ¿Supera el umbral exigido por la SBS?</w:t>
      </w:r>
    </w:p>
    <w:p/>
    <w:p>
      <w:pPr>
        <w:spacing w:before="20" w:after="40"/>
        <w:ind w:left="283"/>
      </w:pPr>
      <w:r>
        <w:rPr>
          <w:b/>
          <w:sz w:val="22"/>
        </w:rPr>
        <w:t>Paso 3 – Implementar funciones de corrección: limpieza_RUC(), normalizar_nombre(), eliminar_duplicados(), actualizar_fechas()</w:t>
      </w:r>
    </w:p>
    <w:p>
      <w:pPr>
        <w:spacing w:before="20" w:after="40"/>
        <w:ind w:left="283"/>
      </w:pPr>
      <w:r>
        <w:rPr>
          <w:b w:val="0"/>
          <w:sz w:val="22"/>
        </w:rPr>
        <w:t>P3: ¿Cuántos registros corrigió cada función? ¿Cuál fue el más difícil de normalizar?</w:t>
      </w:r>
    </w:p>
    <w:p/>
    <w:p>
      <w:pPr>
        <w:spacing w:before="20" w:after="40"/>
        <w:ind w:left="283"/>
      </w:pPr>
      <w:r>
        <w:rPr>
          <w:b/>
          <w:sz w:val="22"/>
        </w:rPr>
        <w:t>Paso 4 – Comparar scores antes/después en las 5 dimensiones. Generar gráficos de barras comparativos.</w:t>
      </w:r>
    </w:p>
    <w:p>
      <w:pPr>
        <w:spacing w:before="20" w:after="40"/>
        <w:ind w:left="283"/>
      </w:pPr>
      <w:r>
        <w:rPr>
          <w:b w:val="0"/>
          <w:sz w:val="22"/>
        </w:rPr>
        <w:t>P4: ¿Mejoró el score de todas las dimensiones? ¿Cuánto mejoró la exactitud de RUCs?</w:t>
      </w:r>
    </w:p>
    <w:p/>
    <w:p>
      <w:pPr>
        <w:spacing w:before="20" w:after="40"/>
        <w:ind w:left="283"/>
      </w:pPr>
      <w:r>
        <w:rPr>
          <w:b/>
          <w:sz w:val="22"/>
        </w:rPr>
        <w:t>Paso 5 – Diseñar organigrama de gobierno de datos: Data Owner, Data Steward, Data Engineer, Data Scientist. Definir 3 políticas concretas.</w:t>
      </w:r>
    </w:p>
    <w:p>
      <w:pPr>
        <w:spacing w:before="20" w:after="40"/>
        <w:ind w:left="283"/>
      </w:pPr>
      <w:r>
        <w:rPr>
          <w:b w:val="0"/>
          <w:sz w:val="22"/>
        </w:rPr>
        <w:t>P5: ¿Quién sería el Data Owner de los datos de clientes en BancoSur? ¿Por qué?</w:t>
      </w:r>
    </w:p>
    <w:p/>
    <w:p>
      <w:pPr>
        <w:spacing w:before="20" w:after="40"/>
        <w:ind w:left="283"/>
      </w:pPr>
      <w:r>
        <w:rPr>
          <w:b/>
          <w:sz w:val="22"/>
        </w:rPr>
        <w:t>Paso 6 – Guardar dataset corregido y reporte de calidad en SQLite. Generar reporte ejecutivo para la SBS.</w:t>
      </w:r>
    </w:p>
    <w:p>
      <w:pPr>
        <w:spacing w:before="20" w:after="40"/>
        <w:ind w:left="283"/>
      </w:pPr>
      <w:r>
        <w:rPr>
          <w:b w:val="0"/>
          <w:sz w:val="22"/>
        </w:rPr>
        <w:t>P6: ¿Está BancoSur en condiciones de presentar el plan a la SBS? ¿Qué queda pendiente?</w:t>
      </w:r>
    </w:p>
    <w:p/>
    <w:p>
      <w:pPr>
        <w:spacing w:before="120"/>
      </w:pPr>
      <w:r>
        <w:rPr>
          <w:b/>
          <w:color w:val="2E75B6"/>
          <w:sz w:val="22"/>
        </w:rPr>
        <w:t>ACTIVIDAD 3: Análisis del Caso</w:t>
      </w:r>
    </w:p>
    <w:p>
      <w:pPr>
        <w:spacing w:before="20" w:after="40"/>
        <w:ind w:left="283"/>
      </w:pPr>
      <w:r>
        <w:rPr>
          <w:b w:val="0"/>
          <w:sz w:val="22"/>
        </w:rPr>
        <w:t>Pregunta A: ¿Cuál de las 5 dimensiones fue la más crítica para BancoSur desde el punto de vista regulatorio? Justifiquen con evidencia del reporte.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B: ¿Qué porcentaje de mejora logró el pipeline en cada dimensión? ¿Es suficiente para cumplir con la SBS o quedan brechas?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C: ¿Cuál es la diferencia entre Data Owner y Data Steward? ¿Quién asumiría cada rol en BancoSur y por qué?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D – Decisión Ejecutiva: Informe para la SBS (sin tecnicismos): qué problemas encontró BancoSur, qué porcentaje mejoró, qué políticas de gobierno implementó y qué garantías ofrece para mantener la calidad.</w:t>
      </w:r>
    </w:p>
    <w:p/>
    <w:p>
      <w:pPr>
        <w:spacing w:before="20" w:after="40"/>
        <w:ind w:left="283"/>
      </w:pPr>
      <w:r>
        <w:rPr>
          <w:b w:val="0"/>
          <w:sz w:val="22"/>
        </w:rPr>
        <w:t>Pregunta E – Inferencia: ¿Qué pasaría si BancoSur adquiere otro banco con 50,000 clientes adicionales en un sistema diferente? ¿Qué política de gobierno activarían inmediatamente?</w:t>
      </w:r>
    </w:p>
    <w:p/>
    <w:p>
      <w:pPr>
        <w:spacing w:before="120" w:after="80"/>
      </w:pPr>
      <w:r>
        <w:rPr>
          <w:b/>
          <w:color w:val="1F3864"/>
          <w:sz w:val="24"/>
        </w:rPr>
        <w:t>VII. CONCLUSIONES GRUPALES</w:t>
      </w:r>
    </w:p>
    <w:p>
      <w:pPr>
        <w:spacing w:before="20" w:after="40"/>
      </w:pPr>
      <w:r>
        <w:rPr>
          <w:b w:val="0"/>
          <w:sz w:val="22"/>
        </w:rPr>
        <w:t>1.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2. _____________________________________________________________________________</w:t>
      </w:r>
    </w:p>
    <w:p>
      <w:pPr>
        <w:spacing w:before="20" w:after="40"/>
      </w:pPr>
      <w:r>
        <w:rPr>
          <w:b w:val="0"/>
          <w:sz w:val="22"/>
        </w:rPr>
        <w:t>3. _____________________________________________________________________________</w:t>
      </w:r>
    </w:p>
    <w:p>
      <w:pPr>
        <w:spacing w:before="120" w:after="80"/>
      </w:pPr>
      <w:r>
        <w:rPr>
          <w:b/>
          <w:color w:val="1F3864"/>
          <w:sz w:val="24"/>
        </w:rPr>
        <w:t>VIII. MATERIAL COMPLEMENTARIO</w:t>
      </w:r>
    </w:p>
    <w:p>
      <w:pPr>
        <w:pStyle w:val="ListBullet"/>
        <w:spacing w:before="20" w:after="20"/>
      </w:pPr>
      <w:r>
        <w:rPr>
          <w:sz w:val="22"/>
        </w:rPr>
        <w:t>DAMA International (2017). DAMA-DMBOK. Technics Publications. Cap. 13</w:t>
      </w:r>
    </w:p>
    <w:p>
      <w:pPr>
        <w:pStyle w:val="ListBullet"/>
        <w:spacing w:before="20" w:after="20"/>
      </w:pPr>
      <w:r>
        <w:rPr>
          <w:sz w:val="22"/>
        </w:rPr>
        <w:t>SBS Peru - Marco de gestion de riesgos: https://www.sbs.gob.pe/</w:t>
      </w:r>
    </w:p>
    <w:p>
      <w:pPr>
        <w:pStyle w:val="ListBullet"/>
        <w:spacing w:before="20" w:after="20"/>
      </w:pPr>
      <w:r>
        <w:rPr>
          <w:sz w:val="22"/>
        </w:rPr>
        <w:t>Loshin, D. (2010). Master Data Management. Morgan Kaufmann. Cap. 4</w:t>
      </w:r>
    </w:p>
    <w:p>
      <w:pPr>
        <w:spacing w:before="120" w:after="80"/>
      </w:pPr>
      <w:r>
        <w:rPr>
          <w:b/>
          <w:color w:val="1F3864"/>
          <w:sz w:val="24"/>
        </w:rPr>
        <w:t>IX. CRITERIOS DE EVALUACIÓN</w:t>
      </w:r>
    </w:p>
    <w:p>
      <w:pPr>
        <w:spacing w:before="20" w:after="40"/>
      </w:pPr>
      <w:r>
        <w:rPr>
          <w:b w:val="0"/>
          <w:sz w:val="22"/>
        </w:rPr>
        <w:t>Curso: Fundamentos de Gestión de Datos  |  Semana 15  |  Lab. Calificado N° 07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0"/>
              </w:rPr>
              <w:t>Sección: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Fecha: 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Docente: Pilar Rocío Sayán Mejía</w:t>
            </w:r>
          </w:p>
        </w:tc>
      </w:tr>
      <w:tr>
        <w:tc>
          <w:tcPr>
            <w:tcW w:type="dxa" w:w="3213"/>
          </w:tcPr>
          <w:p>
            <w:r>
              <w:rPr>
                <w:sz w:val="20"/>
              </w:rPr>
              <w:t>1.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2. ________________________</w:t>
            </w:r>
          </w:p>
        </w:tc>
        <w:tc>
          <w:tcPr>
            <w:tcW w:type="dxa" w:w="3213"/>
          </w:tcPr>
          <w:p>
            <w:r>
              <w:rPr>
                <w:sz w:val="20"/>
              </w:rPr>
              <w:t>3. ________________________  4. 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 desarrollo (2)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Insuficiente (1)</w:t>
            </w:r>
          </w:p>
        </w:tc>
        <w:tc>
          <w:tcPr>
            <w:tcW w:type="dxa" w:w="1606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Comprensión del caso BancoSur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las 3 deficiencias detectadas por la SBS, consecuencias regulatorias y urgencia del plazo de 30 días. Conecta correcciones técnicas con el riesgo de perder la licencia.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Comprende el problema técnico con conexión parcial al riesgo regulatorio.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Ejecuta el pipeline sin conectarlo con las exigencias de la SBS.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evidencia comprensión del contexto bancario regulado.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Reporte de calidad en 5 dimensiones (Paso 2)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Las 5 dimensiones calculadas correctamente con scores documentados. Identifican qué dimensión no supera el umbral de la SBS y explican por qué.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dimensiones calculadas; sin análisis del umbral regulatorio.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2-3 dimensiones calculadas; sin comparación con estándar.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reporte de calidad.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Pipeline de corrección (Paso 3)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Las 4 funciones implementadas correctamente (RUC, nombres, duplicados, fechas). Conteo de registros corregidos por función.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 de 4 funciones implementadas; conteo parcial.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1-2 funciones básicas.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pipeline de corrección.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Marco de gobierno de datos (Paso 5)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Organigrama con 4 roles. Para cada rol: responsabilidad + reporte + 1 política concreta y aplicable a BancoSur.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Roles definidos pero políticas genéricas o sin asignación de reporte.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2 roles o políticas muy vagas.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 marco de gobierno.</w:t>
            </w:r>
          </w:p>
        </w:tc>
        <w:tc>
          <w:tcPr>
            <w:tcW w:type="dxa" w:w="160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Decisión ejecutiva e inferencia (D y E)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Informe para SBS claro y regulatoriamente sólido: problemas + mejoras + garantías futuras. Inferencia razonada sobre adquisición del nuevo banco.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Informe con algunos tecnicismos; inferencia básica.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Solo uno de los dos elementos; poco desarrollo.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responden ninguna de las dos preguntas.</w:t>
            </w:r>
          </w:p>
        </w:tc>
        <w:tc>
          <w:tcPr>
            <w:tcW w:type="dxa" w:w="160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/5</w:t>
            </w:r>
          </w:p>
        </w:tc>
      </w:tr>
      <w:tr>
        <w:tc>
          <w:tcPr>
            <w:tcW w:type="dxa" w:w="1606"/>
            <w:shd w:val="clear" w:color="auto" w:fill="D6E4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>
              <w:rPr>
                <w:b/>
              </w:rPr>
              <w:t>/20</w:t>
            </w:r>
          </w:p>
        </w:tc>
      </w:tr>
    </w:tbl>
    <w:p/>
    <w:p>
      <w:r>
        <w:rPr>
          <w:b/>
        </w:rPr>
        <w:t>Acciones a cumplir:</w:t>
      </w:r>
    </w:p>
    <w:p>
      <w:pPr>
        <w:pStyle w:val="ListBullet"/>
        <w:spacing w:before="20" w:after="20"/>
      </w:pPr>
      <w:r>
        <w:rPr>
          <w:sz w:val="22"/>
        </w:rPr>
        <w:t>Puntualidad en la entrega: 0 / 1 pt ____</w:t>
      </w:r>
    </w:p>
    <w:p>
      <w:pPr>
        <w:pStyle w:val="ListBullet"/>
        <w:spacing w:before="20" w:after="20"/>
      </w:pPr>
      <w:r>
        <w:rPr>
          <w:sz w:val="22"/>
        </w:rPr>
        <w:t>Conclusiones grupales (redacción y ortografía): 0 / 1 pt ____</w:t>
      </w:r>
    </w:p>
    <w:p>
      <w:pPr>
        <w:spacing w:before="20" w:after="40"/>
      </w:pPr>
      <w:r>
        <w:rPr>
          <w:b/>
          <w:sz w:val="22"/>
        </w:rPr>
        <w:t>Puntaje total: _____ / 22 pts</w:t>
      </w:r>
    </w:p>
    <w:p>
      <w:pPr>
        <w:spacing w:before="20" w:after="40"/>
      </w:pPr>
      <w:r>
        <w:rPr>
          <w:b w:val="0"/>
          <w:sz w:val="22"/>
        </w:rPr>
        <w:t>Comentarios del docente: 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image" Target="media/image1.jpeg"/>
  <Relationship Id="rId10" Type="http://schemas.openxmlformats.org/officeDocument/2006/relationships/image" Target="media/image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