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Coilgun v1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First try description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Motoarele electrice conceputal functioneaza similar cu un coil gun: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Sunt 2 coil uri separate care alterneaza constant pentru a accelera rod ul din interior spre o miscare rotativa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Rotatia poate fi transformata in translatie daca repozitionam coil urile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 putea merge folosind un vesc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assembly process: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Separarea bobinelor in stage 1 si stage 2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(La fiecare 2 coiluri se va folosi cate un vesc care ulterior vor trebui sincronizate)-&gt;future note!!!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Conectarea unui vesc la 2 coiluri separate puse in serie de-a lungul unui barrel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Testare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 inceput vom demonta un motor de placa, se vor scote cuprul/bobinele din el si o sa rebobinez pe un tub de pvc 2 coiluri la o anumita distanta intre ele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distanta se va determina experimental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vom demonta un motor deoarece deja sunt calculate lungimile si grosimile firelor de cupru sa se potriveasca cu vescul si puterea acestuia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din pct de vedere al nr de infasurari pt fiecare coil, va fi acelasi pentru ambele si vor creste gradual in functie de rezultatele experimentale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 11.12.2019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 ajuns la concluzia ca un motor BLDC nu se poate debobina(firele fiind lipite cu un adeziv pe bobine)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rina Dumitru" w:id="0" w:date="2020-02-13T21:12:58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alternanta dintre bobine este mult mai ridicata fata de cat am eu nevoie intr-un vesc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