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jc w:val="center"/>
        <w:rPr>
          <w:b w:val="1"/>
          <w:sz w:val="60"/>
          <w:szCs w:val="60"/>
          <w:u w:val="none"/>
        </w:rPr>
      </w:pPr>
      <w:r w:rsidDel="00000000" w:rsidR="00000000" w:rsidRPr="00000000">
        <w:rPr>
          <w:b w:val="1"/>
          <w:sz w:val="60"/>
          <w:szCs w:val="60"/>
          <w:rtl w:val="0"/>
        </w:rPr>
        <w:t xml:space="preserve">UNA FIRMA DE NEGOCIO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60"/>
          <w:szCs w:val="6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sz w:val="60"/>
          <w:szCs w:val="60"/>
        </w:rPr>
      </w:pPr>
      <w:r w:rsidDel="00000000" w:rsidR="00000000" w:rsidRPr="00000000">
        <w:rPr>
          <w:b w:val="1"/>
          <w:sz w:val="48"/>
          <w:szCs w:val="48"/>
          <w:rtl w:val="0"/>
        </w:rPr>
        <w:t xml:space="preserve">“</w:t>
      </w:r>
      <w:r w:rsidDel="00000000" w:rsidR="00000000" w:rsidRPr="00000000">
        <w:rPr>
          <w:b w:val="1"/>
          <w:sz w:val="48"/>
          <w:szCs w:val="48"/>
          <w:rtl w:val="0"/>
        </w:rPr>
        <w:t xml:space="preserve">Desarrollo de una IDENTIDAD corporativa para</w:t>
      </w:r>
      <w:r w:rsidDel="00000000" w:rsidR="00000000" w:rsidRPr="00000000">
        <w:rPr>
          <w:b w:val="1"/>
          <w:sz w:val="60"/>
          <w:szCs w:val="60"/>
          <w:rtl w:val="0"/>
        </w:rPr>
        <w:t xml:space="preserve"> ZENCAR Chile”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Autor: Daniel Vega - Diseñador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Primero que todo el Diseño es un juego estructurado de relaciones conceptuales y simbólicas.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segundo, como reacción a esto se originan el trabajo expresivo de forma, color y movimiento.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DEFINICIÓN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firma como registro gráfico para el cierre de un contrato, es una marca única que establece un compromiso entre las personas participantes en un negocio, las cuales actúan en representación de FIRMAS, visto desde la perspectiva de ellas como estudios profesionales.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firma es la expresión de identidad de una persona, única e irrepetible dado que un trazo codificado se ve influenciado por un gesto, condicionado por la esencia de esa persona, su alma.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FIRMA como negocio será entonces la síntesis de los valores y el carácter de identidad de sus miembros, y sobretodo de sus líderes. Por lo tanto la firma expresada a través de la imagen corporativa debe dar una lectura realista sobre la empresa, y proyectiva en cuanto a sus planificaciones.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empezamos a rescatar los valores más importantes de los líderes de la firma, y buscamos su expresión en la filosofía y comportamiento empresarial que ha tenido la empresa, entonces podemos llegar a la clave del asunto.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luego lograr traducir toda esta narración de una vida empresarial, a configuraciones gráficas totalmente elocuentes y legibles sobre la realidad, y objetivos.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Definiremos entonces una identidad corporativa que se nutrirá y permitirá desarrollar una estrategia totalmente definida, que proyectará seguridad, confianza y expectativas de negocios en común.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ALGORITMO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DEFINIR CARÁCTER, VALORES Y SUEÑOS DE LOS LÍDERES.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ESTABLECER SU EXPRESIÓN EN COMPORTAMIENTOS EMPRESARIALES.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DEFINIR LA ESTRATEGIA DE MKT PREDOMINANTE.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TRADUCIR TODA ESA NARRATIVA DE UNA VIDA EMPRESARIAL A CONFIGURACIONES GRÁFICAS ELOCUENTES.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DEFINIR CARÁCTER, VALORES Y SUEÑOS DE LOS LÍDERES.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líder de Zencar le encantan las embarcaciones, y el negocio principal de la empresa es el tratamiento de aguas, por lo cual una traducción muy pertinente sería asociarlo a las actividades marítimas y sus gráficas.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ESTABLECER SU EXPRESIÓN EN COMPORTAMIENTOS EMPRESARIALES.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Nos enfocaremos en observar cómo se han realizado los negocios durante la vida de la empresa, que experiencia han tenido los clientes al haber trabajado con la empresa? </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Cuales han sido los logros importantes de la empresa.</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Cuales son los objetivos a corto, mediano y largo plazo. La empresa quiere crecer?, consolidarse?, sobrevivir?.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plantas de tratamientos se fabrican con una estructura reciclada de containers marítimos comerciales.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 cual es uno de los hallazgos importantes ya que el diseño estructural de las plantas, es uno de los ases.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DEFINIR LA ESTRATEGIA DE MKT PREDOMINANTE.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la forma en que se ha conseguido cautivar a los clientes efectivos y potenciales.</w:t>
        <w:br w:type="textWrapping"/>
        <w:t xml:space="preserve">En este caso vemos una marcada línea de mkt directo que ha sido una herramienta de persuasión directa y personal.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TRADUCIR TODA ESA NARRATIVA DE UNA VIDA EMPRESARIAL A CONFIGURACIONES GRÁFICAS ELOCUENTES.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vida del mar siempre se ha caracterizado por una dedicación al trabajo, que se hace ultra necesaria debido a las condiciones siempre adversas del medio marítimo.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Cada organización marítima ha desarrollado una identidad corporativa que les permite ser reconocidos dentro de un marco valórico, tales son los casos de la marina mercante, la marina militar y también los piratas.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TIPOGRAFIAS PERTINENTES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https://vllg.com/blackletra/haltrix</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EJEMPLOS DE WEB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MONTAJE INDUSTRIAL</w:t>
      </w:r>
    </w:p>
    <w:p w:rsidR="00000000" w:rsidDel="00000000" w:rsidP="00000000" w:rsidRDefault="00000000" w:rsidRPr="00000000" w14:paraId="00000046">
      <w:pPr>
        <w:rPr/>
      </w:pPr>
      <w:r w:rsidDel="00000000" w:rsidR="00000000" w:rsidRPr="00000000">
        <w:rPr>
          <w:rtl w:val="0"/>
        </w:rPr>
        <w:br w:type="textWrapping"/>
        <w:t xml:space="preserve">http://www.sindustrial.com.br/home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llg.com/blackletra/hal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