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0C28" w14:textId="77777777" w:rsidR="00331315" w:rsidRDefault="00C27A24">
      <w:pPr>
        <w:pStyle w:val="2"/>
        <w:rPr>
          <w:b w:val="0"/>
        </w:rPr>
      </w:pPr>
      <w:r>
        <w:rPr>
          <w:b w:val="0"/>
        </w:rPr>
        <w:t xml:space="preserve">ПРИЛОЖЕНИЕ №4.2 </w:t>
      </w:r>
    </w:p>
    <w:p w14:paraId="11773041" w14:textId="71E4B24E" w:rsidR="00331315" w:rsidRDefault="00C27A24">
      <w:pPr>
        <w:pStyle w:val="2"/>
        <w:rPr>
          <w:b w:val="0"/>
        </w:rPr>
      </w:pPr>
      <w:r>
        <w:rPr>
          <w:b w:val="0"/>
        </w:rPr>
        <w:t xml:space="preserve">К ДОГОВОРУ № </w:t>
      </w:r>
      <w:r>
        <w:rPr>
          <w:rFonts w:ascii="Times" w:hAnsi="Times"/>
          <w:b w:val="0"/>
        </w:rPr>
        <w:t xml:space="preserve">            </w:t>
      </w:r>
      <w:r>
        <w:rPr>
          <w:b w:val="0"/>
        </w:rPr>
        <w:t xml:space="preserve"> ОТ «  » ________________ 202</w:t>
      </w:r>
      <w:r w:rsidR="00F34E6A">
        <w:rPr>
          <w:b w:val="0"/>
        </w:rPr>
        <w:t>4</w:t>
      </w:r>
      <w:r>
        <w:rPr>
          <w:b w:val="0"/>
        </w:rPr>
        <w:t xml:space="preserve"> Г. НА ТРАНСПОРТНО-ЭКСПЕДИЦИОННОЕ ОБСЛУЖИВАНИЕ (ТАРИФЫ НА ЭКСПЕДИРОВАНИЕ ГРУЗОВ ЧЕРЕЗ ТЕРМИНАЛ ООО«ВСК»</w:t>
      </w:r>
      <w:r>
        <w:t xml:space="preserve"> </w:t>
      </w:r>
      <w:r>
        <w:rPr>
          <w:b w:val="0"/>
        </w:rPr>
        <w:t>ПО ПЕРЕВАЛКЕ ЭКСПОРТНЫХ КОНТЕЙНЕРОВ).</w:t>
      </w:r>
    </w:p>
    <w:p w14:paraId="2482D94C" w14:textId="77777777" w:rsidR="00331315" w:rsidRDefault="00331315">
      <w:pPr>
        <w:rPr>
          <w:lang w:eastAsia="en-US"/>
        </w:rPr>
      </w:pPr>
    </w:p>
    <w:p w14:paraId="4AD70E7A" w14:textId="3D69A5A9" w:rsidR="00331315" w:rsidRDefault="00C27A24">
      <w:pPr>
        <w:rPr>
          <w:lang w:eastAsia="en-US"/>
        </w:rPr>
      </w:pPr>
      <w:r>
        <w:rPr>
          <w:lang w:eastAsia="en-US"/>
        </w:rPr>
        <w:t>Санкт-Петербург                                                                                                                                           «__» _____________202</w:t>
      </w:r>
      <w:r w:rsidR="00F34E6A">
        <w:rPr>
          <w:lang w:eastAsia="en-US"/>
        </w:rPr>
        <w:t>4</w:t>
      </w:r>
      <w:r>
        <w:rPr>
          <w:lang w:eastAsia="en-US"/>
        </w:rPr>
        <w:t xml:space="preserve"> г.</w:t>
      </w:r>
    </w:p>
    <w:p w14:paraId="37533E4E" w14:textId="77777777" w:rsidR="00331315" w:rsidRDefault="00331315">
      <w:pPr>
        <w:rPr>
          <w:lang w:eastAsia="en-US"/>
        </w:rPr>
      </w:pPr>
    </w:p>
    <w:p w14:paraId="0F8A03F7" w14:textId="77777777" w:rsidR="00331315" w:rsidRDefault="00C27A24">
      <w:pPr>
        <w:pStyle w:val="af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Погрузочно-разгрузочные работы</w:t>
      </w:r>
    </w:p>
    <w:p w14:paraId="3CC6D51A" w14:textId="77777777" w:rsidR="00331315" w:rsidRDefault="00331315">
      <w:pPr>
        <w:tabs>
          <w:tab w:val="left" w:pos="284"/>
        </w:tabs>
        <w:jc w:val="both"/>
        <w:rPr>
          <w:b/>
          <w:bCs/>
          <w:u w:val="single"/>
        </w:rPr>
      </w:pPr>
    </w:p>
    <w:p w14:paraId="32EA0D07" w14:textId="77777777" w:rsidR="00331315" w:rsidRDefault="00C27A24">
      <w:pPr>
        <w:rPr>
          <w:b/>
          <w:bCs/>
        </w:rPr>
      </w:pPr>
      <w:r>
        <w:rPr>
          <w:b/>
          <w:bCs/>
        </w:rPr>
        <w:t>Груженые контейнеры:</w:t>
      </w:r>
    </w:p>
    <w:p w14:paraId="5802A36D" w14:textId="77777777" w:rsidR="00331315" w:rsidRDefault="00331315">
      <w:pPr>
        <w:rPr>
          <w:b/>
          <w:bCs/>
        </w:rPr>
      </w:pPr>
    </w:p>
    <w:tbl>
      <w:tblPr>
        <w:tblStyle w:val="af6"/>
        <w:tblW w:w="10749" w:type="dxa"/>
        <w:tblLayout w:type="fixed"/>
        <w:tblLook w:val="04A0" w:firstRow="1" w:lastRow="0" w:firstColumn="1" w:lastColumn="0" w:noHBand="0" w:noVBand="1"/>
      </w:tblPr>
      <w:tblGrid>
        <w:gridCol w:w="645"/>
        <w:gridCol w:w="5698"/>
        <w:gridCol w:w="813"/>
        <w:gridCol w:w="1791"/>
        <w:gridCol w:w="1802"/>
      </w:tblGrid>
      <w:tr w:rsidR="00331315" w14:paraId="37DD446B" w14:textId="77777777">
        <w:trPr>
          <w:trHeight w:val="497"/>
        </w:trPr>
        <w:tc>
          <w:tcPr>
            <w:tcW w:w="645" w:type="dxa"/>
            <w:vMerge w:val="restart"/>
          </w:tcPr>
          <w:p w14:paraId="78447D49" w14:textId="77777777" w:rsidR="00331315" w:rsidRDefault="00331315">
            <w:pPr>
              <w:jc w:val="center"/>
            </w:pPr>
          </w:p>
          <w:p w14:paraId="768760E9" w14:textId="77777777" w:rsidR="00331315" w:rsidRDefault="00C27A24">
            <w:pPr>
              <w:jc w:val="center"/>
              <w:rPr>
                <w:b/>
              </w:rPr>
            </w:pPr>
            <w:r>
              <w:t>No</w:t>
            </w:r>
          </w:p>
        </w:tc>
        <w:tc>
          <w:tcPr>
            <w:tcW w:w="5698" w:type="dxa"/>
            <w:vMerge w:val="restart"/>
          </w:tcPr>
          <w:p w14:paraId="429DD38A" w14:textId="77777777" w:rsidR="00331315" w:rsidRDefault="00331315">
            <w:pPr>
              <w:jc w:val="center"/>
            </w:pPr>
          </w:p>
          <w:p w14:paraId="3BC92994" w14:textId="77777777" w:rsidR="00331315" w:rsidRDefault="00C27A24">
            <w:pPr>
              <w:jc w:val="center"/>
              <w:rPr>
                <w:b/>
              </w:rPr>
            </w:pPr>
            <w:r>
              <w:t>Наименование услуги</w:t>
            </w:r>
          </w:p>
        </w:tc>
        <w:tc>
          <w:tcPr>
            <w:tcW w:w="813" w:type="dxa"/>
            <w:vMerge w:val="restart"/>
          </w:tcPr>
          <w:p w14:paraId="2F4CE171" w14:textId="77777777" w:rsidR="00331315" w:rsidRDefault="00C27A24">
            <w:pPr>
              <w:jc w:val="center"/>
              <w:rPr>
                <w:b/>
              </w:rPr>
            </w:pPr>
            <w:r>
              <w:t>Ед. изм.</w:t>
            </w:r>
          </w:p>
        </w:tc>
        <w:tc>
          <w:tcPr>
            <w:tcW w:w="3593" w:type="dxa"/>
            <w:gridSpan w:val="2"/>
          </w:tcPr>
          <w:p w14:paraId="33717B40" w14:textId="77777777" w:rsidR="00331315" w:rsidRDefault="00C27A24">
            <w:pPr>
              <w:jc w:val="center"/>
            </w:pPr>
            <w:r>
              <w:t xml:space="preserve">Стоимость в руб. </w:t>
            </w:r>
          </w:p>
          <w:p w14:paraId="23921FDE" w14:textId="77777777" w:rsidR="00331315" w:rsidRDefault="00C27A24">
            <w:pPr>
              <w:jc w:val="center"/>
              <w:rPr>
                <w:b/>
              </w:rPr>
            </w:pPr>
            <w:r>
              <w:t>за единицу измерения</w:t>
            </w:r>
          </w:p>
        </w:tc>
      </w:tr>
      <w:tr w:rsidR="00331315" w14:paraId="3624E186" w14:textId="77777777">
        <w:trPr>
          <w:trHeight w:val="259"/>
        </w:trPr>
        <w:tc>
          <w:tcPr>
            <w:tcW w:w="645" w:type="dxa"/>
            <w:vMerge/>
          </w:tcPr>
          <w:p w14:paraId="3E967C43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5698" w:type="dxa"/>
            <w:vMerge/>
          </w:tcPr>
          <w:p w14:paraId="2E29E371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813" w:type="dxa"/>
            <w:vMerge/>
          </w:tcPr>
          <w:p w14:paraId="18073C5F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1791" w:type="dxa"/>
          </w:tcPr>
          <w:p w14:paraId="68A3C593" w14:textId="77777777" w:rsidR="00331315" w:rsidRDefault="00C27A24">
            <w:pPr>
              <w:jc w:val="center"/>
              <w:rPr>
                <w:b/>
              </w:rPr>
            </w:pPr>
            <w:r>
              <w:t>20-фут.ктк</w:t>
            </w:r>
          </w:p>
        </w:tc>
        <w:tc>
          <w:tcPr>
            <w:tcW w:w="1802" w:type="dxa"/>
          </w:tcPr>
          <w:p w14:paraId="6DDF9A07" w14:textId="77777777" w:rsidR="00331315" w:rsidRDefault="00C27A24">
            <w:pPr>
              <w:jc w:val="center"/>
              <w:rPr>
                <w:b/>
              </w:rPr>
            </w:pPr>
            <w:r>
              <w:t>40-фут.ктк</w:t>
            </w:r>
          </w:p>
        </w:tc>
      </w:tr>
      <w:tr w:rsidR="00331315" w14:paraId="75322259" w14:textId="77777777">
        <w:trPr>
          <w:trHeight w:val="248"/>
        </w:trPr>
        <w:tc>
          <w:tcPr>
            <w:tcW w:w="10749" w:type="dxa"/>
            <w:gridSpan w:val="5"/>
            <w:vAlign w:val="center"/>
          </w:tcPr>
          <w:p w14:paraId="3FECA992" w14:textId="77777777" w:rsidR="00331315" w:rsidRDefault="00C27A24">
            <w:pPr>
              <w:rPr>
                <w:b/>
              </w:rPr>
            </w:pPr>
            <w:r>
              <w:rPr>
                <w:b/>
                <w:bCs/>
              </w:rPr>
              <w:t xml:space="preserve">Экспортные, </w:t>
            </w:r>
            <w:r>
              <w:rPr>
                <w:b/>
                <w:bCs/>
                <w:color w:val="000000" w:themeColor="text1"/>
              </w:rPr>
              <w:t xml:space="preserve">транзитные </w:t>
            </w:r>
            <w:r>
              <w:rPr>
                <w:b/>
                <w:bCs/>
              </w:rPr>
              <w:t>контейнеры</w:t>
            </w:r>
          </w:p>
        </w:tc>
      </w:tr>
      <w:tr w:rsidR="00331315" w14:paraId="17D191B0" w14:textId="77777777">
        <w:trPr>
          <w:trHeight w:val="508"/>
        </w:trPr>
        <w:tc>
          <w:tcPr>
            <w:tcW w:w="645" w:type="dxa"/>
            <w:vAlign w:val="center"/>
          </w:tcPr>
          <w:p w14:paraId="1F5CA825" w14:textId="77777777" w:rsidR="00331315" w:rsidRDefault="00C27A24">
            <w:pPr>
              <w:jc w:val="center"/>
            </w:pPr>
            <w:r>
              <w:t>1.</w:t>
            </w:r>
          </w:p>
        </w:tc>
        <w:tc>
          <w:tcPr>
            <w:tcW w:w="5698" w:type="dxa"/>
            <w:vAlign w:val="center"/>
          </w:tcPr>
          <w:p w14:paraId="40AB5800" w14:textId="77777777" w:rsidR="00331315" w:rsidRDefault="00C27A24">
            <w:pPr>
              <w:jc w:val="both"/>
            </w:pPr>
            <w:r>
              <w:t>Перевалка экспортных гружённых контейнеров (наземное транспортное средство – склад).</w:t>
            </w:r>
          </w:p>
        </w:tc>
        <w:tc>
          <w:tcPr>
            <w:tcW w:w="813" w:type="dxa"/>
            <w:vAlign w:val="center"/>
          </w:tcPr>
          <w:p w14:paraId="085BD98F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46B60975" w14:textId="77777777" w:rsidR="00331315" w:rsidRDefault="00C27A24">
            <w:pPr>
              <w:jc w:val="center"/>
              <w:rPr>
                <w:b/>
              </w:rPr>
            </w:pPr>
            <w:r>
              <w:rPr>
                <w:b/>
              </w:rPr>
              <w:t>9000,00</w:t>
            </w:r>
          </w:p>
        </w:tc>
        <w:tc>
          <w:tcPr>
            <w:tcW w:w="1802" w:type="dxa"/>
            <w:shd w:val="clear" w:color="auto" w:fill="auto"/>
            <w:vAlign w:val="center"/>
          </w:tcPr>
          <w:p w14:paraId="5095A46C" w14:textId="77777777" w:rsidR="00331315" w:rsidRDefault="00C27A24">
            <w:pPr>
              <w:jc w:val="center"/>
              <w:rPr>
                <w:b/>
              </w:rPr>
            </w:pPr>
            <w:r>
              <w:rPr>
                <w:b/>
              </w:rPr>
              <w:t>9000,00</w:t>
            </w:r>
          </w:p>
        </w:tc>
      </w:tr>
    </w:tbl>
    <w:p w14:paraId="5DCEC73B" w14:textId="77777777" w:rsidR="00331315" w:rsidRDefault="00331315">
      <w:pPr>
        <w:jc w:val="both"/>
      </w:pPr>
    </w:p>
    <w:p w14:paraId="60BE0869" w14:textId="77777777" w:rsidR="00331315" w:rsidRDefault="00C27A24">
      <w:pPr>
        <w:jc w:val="both"/>
      </w:pPr>
      <w:r>
        <w:t>Примечание к п.1:</w:t>
      </w:r>
    </w:p>
    <w:p w14:paraId="75558626" w14:textId="77777777" w:rsidR="00331315" w:rsidRDefault="00C27A24">
      <w:pPr>
        <w:jc w:val="both"/>
        <w:rPr>
          <w:color w:val="000000"/>
          <w:spacing w:val="-1"/>
        </w:rPr>
      </w:pPr>
      <w:r>
        <w:rPr>
          <w:color w:val="000000" w:themeColor="text1"/>
        </w:rPr>
        <w:t xml:space="preserve">1. Тариф п.1.включает: </w:t>
      </w:r>
      <w:r>
        <w:rPr>
          <w:color w:val="000000" w:themeColor="text1"/>
          <w:spacing w:val="-1"/>
        </w:rPr>
        <w:t>раскрепление и выгрузку контейнера с наземного вида транспорта (ж/д, фитинговые платформы/авто) на склад; перемещение контейнера в границах Порта (от места выгрузки с наземного транспортного средства до места складирования); постановку контейнера в штабель; технологическое накопление контейнеров в пределах установленного срока технологического накопления; документальное оформление операций с контейнером, включая оформление приема или выдачи контейнера.</w:t>
      </w:r>
    </w:p>
    <w:p w14:paraId="6D08501F" w14:textId="77777777" w:rsidR="00331315" w:rsidRDefault="00C27A24">
      <w:pPr>
        <w:jc w:val="both"/>
        <w:rPr>
          <w:b/>
          <w:u w:val="single"/>
        </w:rPr>
      </w:pPr>
      <w:r>
        <w:rPr>
          <w:color w:val="000000" w:themeColor="text1"/>
          <w:spacing w:val="-1"/>
        </w:rPr>
        <w:t xml:space="preserve">2. В случае снятия контейнера с погрузки на судно по причинам, независящим от экспедитора, возникающие в связи с этим вынужденные грузовые операции подлежат дополнительной оплате экспедитору по тарифам </w:t>
      </w:r>
      <w:r>
        <w:t>приложения.</w:t>
      </w:r>
    </w:p>
    <w:p w14:paraId="72F699E3" w14:textId="77777777" w:rsidR="00331315" w:rsidRDefault="00331315">
      <w:pPr>
        <w:rPr>
          <w:b/>
          <w:u w:val="single"/>
        </w:rPr>
      </w:pPr>
    </w:p>
    <w:p w14:paraId="797A9791" w14:textId="77777777" w:rsidR="00331315" w:rsidRDefault="00C27A24">
      <w:pPr>
        <w:pStyle w:val="afa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Срок технологического накопления экспортных контейнеров:</w:t>
      </w:r>
    </w:p>
    <w:p w14:paraId="6F158A7D" w14:textId="77777777" w:rsidR="00331315" w:rsidRDefault="00331315">
      <w:pPr>
        <w:rPr>
          <w:b/>
          <w:u w:val="single"/>
        </w:rPr>
      </w:pPr>
    </w:p>
    <w:p w14:paraId="286EBE25" w14:textId="77777777" w:rsidR="00331315" w:rsidRDefault="00C27A24">
      <w:r>
        <w:t xml:space="preserve">- груженый контейнер - </w:t>
      </w:r>
      <w:r>
        <w:rPr>
          <w:b/>
        </w:rPr>
        <w:t>14 суток;</w:t>
      </w:r>
    </w:p>
    <w:p w14:paraId="3B815819" w14:textId="77777777" w:rsidR="00331315" w:rsidRDefault="00C27A24">
      <w:pPr>
        <w:rPr>
          <w:b/>
        </w:rPr>
      </w:pPr>
      <w:r>
        <w:t xml:space="preserve">- порожний контейнер - </w:t>
      </w:r>
      <w:r>
        <w:rPr>
          <w:b/>
        </w:rPr>
        <w:t>7 суток.</w:t>
      </w:r>
    </w:p>
    <w:p w14:paraId="6C1D9BEF" w14:textId="77777777" w:rsidR="00331315" w:rsidRDefault="00C27A24">
      <w:pPr>
        <w:jc w:val="both"/>
        <w:rPr>
          <w:color w:val="000000"/>
          <w:spacing w:val="-1"/>
        </w:rPr>
      </w:pPr>
      <w:r>
        <w:rPr>
          <w:i/>
          <w:iCs/>
        </w:rPr>
        <w:t>Первым днем технологического накопления контейнера является дата выгрузки контейнера с транспортного средства; дата, следующая за датой приема контейнера в сток; Дата, следующая за датой растарки контейнера; дата затарки контейнера. Последним днем технологического накопления является дата окончания срока технологического накопления.</w:t>
      </w:r>
      <w:r>
        <w:rPr>
          <w:i/>
          <w:iCs/>
        </w:rPr>
        <w:br/>
      </w:r>
      <w:r>
        <w:rPr>
          <w:color w:val="000000" w:themeColor="text1"/>
          <w:spacing w:val="-1"/>
        </w:rPr>
        <w:t>Даты, указанные в настоящем разделе, фиксируются в ИС Терминала и/или указываются в документе, подтверждающем факт оказания услуги или выполнения операции.</w:t>
      </w:r>
    </w:p>
    <w:p w14:paraId="46F40C65" w14:textId="77777777" w:rsidR="00331315" w:rsidRDefault="00331315">
      <w:pPr>
        <w:rPr>
          <w:color w:val="000000"/>
          <w:spacing w:val="-1"/>
        </w:rPr>
      </w:pPr>
    </w:p>
    <w:p w14:paraId="1B8C602D" w14:textId="77777777" w:rsidR="00331315" w:rsidRDefault="00331315">
      <w:pPr>
        <w:jc w:val="both"/>
        <w:rPr>
          <w:b/>
          <w:u w:val="single"/>
        </w:rPr>
      </w:pPr>
    </w:p>
    <w:p w14:paraId="73525DE2" w14:textId="77777777" w:rsidR="00331315" w:rsidRDefault="00C27A24">
      <w:pPr>
        <w:pStyle w:val="afa"/>
        <w:numPr>
          <w:ilvl w:val="0"/>
          <w:numId w:val="3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Хранение груженых контейнеров:</w:t>
      </w:r>
    </w:p>
    <w:p w14:paraId="39E8A881" w14:textId="77777777" w:rsidR="00331315" w:rsidRDefault="00331315">
      <w:pPr>
        <w:ind w:left="360"/>
        <w:rPr>
          <w:i/>
          <w:iCs/>
        </w:rPr>
      </w:pPr>
    </w:p>
    <w:tbl>
      <w:tblPr>
        <w:tblW w:w="108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1"/>
        <w:gridCol w:w="5703"/>
        <w:gridCol w:w="995"/>
        <w:gridCol w:w="1741"/>
        <w:gridCol w:w="1664"/>
      </w:tblGrid>
      <w:tr w:rsidR="00331315" w14:paraId="68B3043D" w14:textId="77777777">
        <w:trPr>
          <w:trHeight w:val="198"/>
        </w:trPr>
        <w:tc>
          <w:tcPr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2B04" w14:textId="77777777" w:rsidR="00331315" w:rsidRDefault="00C27A24">
            <w:pPr>
              <w:jc w:val="center"/>
            </w:pPr>
            <w:r>
              <w:t>No.</w:t>
            </w:r>
          </w:p>
        </w:tc>
        <w:tc>
          <w:tcPr>
            <w:tcW w:w="5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FD3D" w14:textId="77777777" w:rsidR="00331315" w:rsidRDefault="00C27A24">
            <w:pPr>
              <w:jc w:val="center"/>
            </w:pPr>
            <w:r>
              <w:t>Наименование услуги</w:t>
            </w:r>
          </w:p>
        </w:tc>
        <w:tc>
          <w:tcPr>
            <w:tcW w:w="9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2DD42" w14:textId="77777777" w:rsidR="00331315" w:rsidRDefault="00C27A24">
            <w:pPr>
              <w:jc w:val="center"/>
            </w:pPr>
            <w:r>
              <w:t>Ед. изм.</w:t>
            </w:r>
          </w:p>
        </w:tc>
        <w:tc>
          <w:tcPr>
            <w:tcW w:w="3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F0D7C" w14:textId="77777777" w:rsidR="00331315" w:rsidRDefault="00C27A24">
            <w:pPr>
              <w:jc w:val="center"/>
            </w:pPr>
            <w:r>
              <w:t xml:space="preserve">Стоимость в руб. </w:t>
            </w:r>
          </w:p>
          <w:p w14:paraId="66A52616" w14:textId="77777777" w:rsidR="00331315" w:rsidRDefault="00C27A24">
            <w:pPr>
              <w:jc w:val="center"/>
            </w:pPr>
            <w:r>
              <w:t>за единицу измерения</w:t>
            </w:r>
          </w:p>
        </w:tc>
      </w:tr>
      <w:tr w:rsidR="00331315" w14:paraId="3275CB54" w14:textId="77777777">
        <w:trPr>
          <w:trHeight w:val="66"/>
        </w:trPr>
        <w:tc>
          <w:tcPr>
            <w:tcW w:w="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687BB" w14:textId="77777777" w:rsidR="00331315" w:rsidRDefault="00331315"/>
        </w:tc>
        <w:tc>
          <w:tcPr>
            <w:tcW w:w="5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D62C" w14:textId="77777777" w:rsidR="00331315" w:rsidRDefault="00331315"/>
        </w:tc>
        <w:tc>
          <w:tcPr>
            <w:tcW w:w="9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032A" w14:textId="77777777" w:rsidR="00331315" w:rsidRDefault="00331315"/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405068" w14:textId="77777777" w:rsidR="00331315" w:rsidRDefault="00C27A24">
            <w:pPr>
              <w:jc w:val="center"/>
            </w:pPr>
            <w:r>
              <w:t>20-фут.</w:t>
            </w:r>
          </w:p>
          <w:p w14:paraId="755959DA" w14:textId="77777777" w:rsidR="00331315" w:rsidRDefault="00C27A24">
            <w:pPr>
              <w:jc w:val="center"/>
            </w:pPr>
            <w:r>
              <w:t>ктк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9099C" w14:textId="77777777" w:rsidR="00331315" w:rsidRDefault="00C27A24">
            <w:pPr>
              <w:jc w:val="center"/>
            </w:pPr>
            <w:r>
              <w:t>40-фут.</w:t>
            </w:r>
          </w:p>
          <w:p w14:paraId="4452AAF8" w14:textId="77777777" w:rsidR="00331315" w:rsidRDefault="00C27A24">
            <w:pPr>
              <w:jc w:val="center"/>
            </w:pPr>
            <w:r>
              <w:t>ктк</w:t>
            </w:r>
          </w:p>
        </w:tc>
      </w:tr>
      <w:tr w:rsidR="00331315" w14:paraId="438D30A7" w14:textId="77777777">
        <w:trPr>
          <w:trHeight w:val="127"/>
        </w:trPr>
        <w:tc>
          <w:tcPr>
            <w:tcW w:w="108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62A2F" w14:textId="77777777" w:rsidR="00331315" w:rsidRDefault="00C27A2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Экспортные, контейнеры</w:t>
            </w:r>
          </w:p>
        </w:tc>
      </w:tr>
      <w:tr w:rsidR="00331315" w14:paraId="6CBBCC15" w14:textId="77777777">
        <w:trPr>
          <w:trHeight w:val="318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905FF2" w14:textId="77777777" w:rsidR="00331315" w:rsidRDefault="00C27A24">
            <w:pPr>
              <w:jc w:val="center"/>
            </w:pPr>
            <w:r>
              <w:t>3.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D8242" w14:textId="77777777" w:rsidR="00331315" w:rsidRDefault="00C27A24">
            <w:pPr>
              <w:jc w:val="both"/>
            </w:pPr>
            <w:r>
              <w:t xml:space="preserve">Хранение </w:t>
            </w:r>
            <w:r>
              <w:rPr>
                <w:b/>
              </w:rPr>
              <w:t xml:space="preserve">с 15 </w:t>
            </w:r>
            <w:r>
              <w:t>дня и далее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F26C" w14:textId="77777777" w:rsidR="00331315" w:rsidRDefault="00C27A24">
            <w:pPr>
              <w:jc w:val="center"/>
            </w:pPr>
            <w:r>
              <w:t>1 шт / сутки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E7E9" w14:textId="77777777" w:rsidR="00331315" w:rsidRDefault="00C27A24">
            <w:pPr>
              <w:jc w:val="center"/>
              <w:rPr>
                <w:b/>
              </w:rPr>
            </w:pPr>
            <w:r>
              <w:rPr>
                <w:b/>
                <w:color w:val="000000" w:themeColor="text1"/>
              </w:rPr>
              <w:t>3000,00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7A4D8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4</w:t>
            </w:r>
            <w:r>
              <w:rPr>
                <w:b/>
                <w:color w:val="000000" w:themeColor="text1"/>
                <w:lang w:val="en-GB"/>
              </w:rPr>
              <w:t>000</w:t>
            </w:r>
            <w:r>
              <w:rPr>
                <w:b/>
                <w:color w:val="000000" w:themeColor="text1"/>
              </w:rPr>
              <w:t>,00</w:t>
            </w:r>
          </w:p>
        </w:tc>
      </w:tr>
    </w:tbl>
    <w:p w14:paraId="7B9124C1" w14:textId="77777777" w:rsidR="00331315" w:rsidRDefault="00331315">
      <w:pPr>
        <w:jc w:val="both"/>
      </w:pPr>
    </w:p>
    <w:p w14:paraId="0A3C0C4F" w14:textId="77777777" w:rsidR="00331315" w:rsidRDefault="00C27A24">
      <w:pPr>
        <w:jc w:val="both"/>
      </w:pPr>
      <w:r>
        <w:t>Примечание к п.3:</w:t>
      </w:r>
    </w:p>
    <w:p w14:paraId="3CB0E07B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Первым днём тарификации услуги по хранению контейнера является дата, следующая за датой окончания срока технологического накопления контейнера. В случае, если срок технологического накопления контейнера равен нулю, первый день тарификации услуги по хранению приравнивается к первому дню технологического накопления контейнера.</w:t>
      </w:r>
    </w:p>
    <w:p w14:paraId="68A0A7D9" w14:textId="77777777" w:rsidR="00331315" w:rsidRDefault="00C27A24">
      <w:pPr>
        <w:pStyle w:val="af8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Последним днем тарификации услуги по хранению контейнера является дата погрузки контейнера на судно.</w:t>
      </w:r>
    </w:p>
    <w:p w14:paraId="76540F83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Даты, указанные в настоящем разделе, фиксируются в ИС Терминала и/или указываются в документе, подтверждающем факт оказания услуги или выполнения операции.</w:t>
      </w:r>
    </w:p>
    <w:p w14:paraId="11E41312" w14:textId="77777777" w:rsidR="00331315" w:rsidRDefault="00C27A24">
      <w:pPr>
        <w:pStyle w:val="afa"/>
        <w:tabs>
          <w:tab w:val="left" w:pos="284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>4.  Дополнительные услуги и работы, связанные с перевалкой, выполняемые Экспедитором в интересах Клиента, в том числе по заявкам Заказчика и/или по требованию государственных надзорных органов (физ. досмотр, отбор проб (образцов), ветеринарный/фитосанитарный контроль):</w:t>
      </w:r>
    </w:p>
    <w:p w14:paraId="75BC6464" w14:textId="77777777" w:rsidR="00331315" w:rsidRDefault="00331315">
      <w:pPr>
        <w:tabs>
          <w:tab w:val="left" w:pos="284"/>
        </w:tabs>
        <w:jc w:val="both"/>
        <w:rPr>
          <w:b/>
          <w:bCs/>
          <w:u w:val="single"/>
        </w:rPr>
      </w:pPr>
    </w:p>
    <w:tbl>
      <w:tblPr>
        <w:tblStyle w:val="af6"/>
        <w:tblW w:w="10757" w:type="dxa"/>
        <w:tblLayout w:type="fixed"/>
        <w:tblLook w:val="04A0" w:firstRow="1" w:lastRow="0" w:firstColumn="1" w:lastColumn="0" w:noHBand="0" w:noVBand="1"/>
      </w:tblPr>
      <w:tblGrid>
        <w:gridCol w:w="796"/>
        <w:gridCol w:w="5454"/>
        <w:gridCol w:w="961"/>
        <w:gridCol w:w="1764"/>
        <w:gridCol w:w="1782"/>
      </w:tblGrid>
      <w:tr w:rsidR="00331315" w14:paraId="35CADF44" w14:textId="77777777">
        <w:trPr>
          <w:trHeight w:val="460"/>
        </w:trPr>
        <w:tc>
          <w:tcPr>
            <w:tcW w:w="796" w:type="dxa"/>
            <w:vMerge w:val="restart"/>
          </w:tcPr>
          <w:p w14:paraId="57643BC6" w14:textId="77777777" w:rsidR="00331315" w:rsidRDefault="00331315">
            <w:pPr>
              <w:jc w:val="center"/>
            </w:pPr>
          </w:p>
          <w:p w14:paraId="3B56070D" w14:textId="77777777" w:rsidR="00331315" w:rsidRDefault="00C27A24">
            <w:pPr>
              <w:jc w:val="center"/>
              <w:rPr>
                <w:b/>
              </w:rPr>
            </w:pPr>
            <w:r>
              <w:t>No</w:t>
            </w:r>
          </w:p>
        </w:tc>
        <w:tc>
          <w:tcPr>
            <w:tcW w:w="5454" w:type="dxa"/>
            <w:vMerge w:val="restart"/>
          </w:tcPr>
          <w:p w14:paraId="6E595BAE" w14:textId="77777777" w:rsidR="00331315" w:rsidRDefault="00331315">
            <w:pPr>
              <w:jc w:val="center"/>
            </w:pPr>
          </w:p>
          <w:p w14:paraId="751F19DE" w14:textId="77777777" w:rsidR="00331315" w:rsidRDefault="00C27A24">
            <w:pPr>
              <w:jc w:val="center"/>
              <w:rPr>
                <w:b/>
              </w:rPr>
            </w:pPr>
            <w:r>
              <w:t>Наименование услуги</w:t>
            </w:r>
          </w:p>
        </w:tc>
        <w:tc>
          <w:tcPr>
            <w:tcW w:w="961" w:type="dxa"/>
            <w:vMerge w:val="restart"/>
          </w:tcPr>
          <w:p w14:paraId="45305CFF" w14:textId="77777777" w:rsidR="00331315" w:rsidRDefault="00C27A24">
            <w:pPr>
              <w:jc w:val="center"/>
              <w:rPr>
                <w:b/>
              </w:rPr>
            </w:pPr>
            <w:r>
              <w:t>Ед. изм.</w:t>
            </w:r>
          </w:p>
        </w:tc>
        <w:tc>
          <w:tcPr>
            <w:tcW w:w="3546" w:type="dxa"/>
            <w:gridSpan w:val="2"/>
          </w:tcPr>
          <w:p w14:paraId="6B6C8C82" w14:textId="77777777" w:rsidR="00331315" w:rsidRDefault="00C27A24">
            <w:pPr>
              <w:jc w:val="center"/>
            </w:pPr>
            <w:r>
              <w:t xml:space="preserve">Стоимость в руб. </w:t>
            </w:r>
          </w:p>
          <w:p w14:paraId="3E574A51" w14:textId="77777777" w:rsidR="00331315" w:rsidRDefault="00C27A24">
            <w:pPr>
              <w:jc w:val="center"/>
              <w:rPr>
                <w:b/>
              </w:rPr>
            </w:pPr>
            <w:r>
              <w:t>за единицу измерения</w:t>
            </w:r>
          </w:p>
        </w:tc>
      </w:tr>
      <w:tr w:rsidR="00331315" w14:paraId="705E15E2" w14:textId="77777777">
        <w:trPr>
          <w:trHeight w:val="240"/>
        </w:trPr>
        <w:tc>
          <w:tcPr>
            <w:tcW w:w="796" w:type="dxa"/>
            <w:vMerge/>
          </w:tcPr>
          <w:p w14:paraId="42E40560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5454" w:type="dxa"/>
            <w:vMerge/>
          </w:tcPr>
          <w:p w14:paraId="40AF0D44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961" w:type="dxa"/>
            <w:vMerge/>
          </w:tcPr>
          <w:p w14:paraId="169CB7EE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1764" w:type="dxa"/>
          </w:tcPr>
          <w:p w14:paraId="1548F137" w14:textId="77777777" w:rsidR="00331315" w:rsidRDefault="00C27A24">
            <w:pPr>
              <w:jc w:val="center"/>
              <w:rPr>
                <w:b/>
              </w:rPr>
            </w:pPr>
            <w:r>
              <w:t>20-фут. ктк</w:t>
            </w:r>
          </w:p>
        </w:tc>
        <w:tc>
          <w:tcPr>
            <w:tcW w:w="1782" w:type="dxa"/>
          </w:tcPr>
          <w:p w14:paraId="2A5A96F6" w14:textId="77777777" w:rsidR="00331315" w:rsidRDefault="00C27A24">
            <w:pPr>
              <w:jc w:val="center"/>
              <w:rPr>
                <w:b/>
              </w:rPr>
            </w:pPr>
            <w:r>
              <w:t>40-фут.ктк</w:t>
            </w:r>
          </w:p>
        </w:tc>
      </w:tr>
      <w:tr w:rsidR="00331315" w14:paraId="49A68E31" w14:textId="77777777">
        <w:trPr>
          <w:trHeight w:val="230"/>
        </w:trPr>
        <w:tc>
          <w:tcPr>
            <w:tcW w:w="10757" w:type="dxa"/>
            <w:gridSpan w:val="5"/>
            <w:vAlign w:val="center"/>
          </w:tcPr>
          <w:p w14:paraId="647A79FB" w14:textId="77777777" w:rsidR="00331315" w:rsidRDefault="00C27A24">
            <w:pPr>
              <w:rPr>
                <w:b/>
                <w:highlight w:val="yellow"/>
              </w:rPr>
            </w:pPr>
            <w:r>
              <w:rPr>
                <w:b/>
              </w:rPr>
              <w:t xml:space="preserve">Груженые экспортные, </w:t>
            </w:r>
            <w:r>
              <w:rPr>
                <w:b/>
                <w:color w:val="000000" w:themeColor="text1"/>
              </w:rPr>
              <w:t xml:space="preserve">транзитные </w:t>
            </w:r>
            <w:r>
              <w:rPr>
                <w:b/>
              </w:rPr>
              <w:t xml:space="preserve">контейнеры </w:t>
            </w:r>
          </w:p>
        </w:tc>
      </w:tr>
      <w:tr w:rsidR="00331315" w14:paraId="38EF9B23" w14:textId="77777777">
        <w:trPr>
          <w:trHeight w:val="428"/>
        </w:trPr>
        <w:tc>
          <w:tcPr>
            <w:tcW w:w="796" w:type="dxa"/>
            <w:vAlign w:val="center"/>
          </w:tcPr>
          <w:p w14:paraId="15A9B8E2" w14:textId="77777777" w:rsidR="00331315" w:rsidRDefault="00C27A24">
            <w:pPr>
              <w:jc w:val="center"/>
            </w:pPr>
            <w:r>
              <w:t>4.1.</w:t>
            </w:r>
          </w:p>
        </w:tc>
        <w:tc>
          <w:tcPr>
            <w:tcW w:w="5454" w:type="dxa"/>
            <w:vAlign w:val="center"/>
          </w:tcPr>
          <w:p w14:paraId="2B2669BB" w14:textId="77777777" w:rsidR="00331315" w:rsidRDefault="00C27A24">
            <w:pPr>
              <w:jc w:val="both"/>
            </w:pPr>
            <w:r>
              <w:rPr>
                <w:iCs/>
              </w:rPr>
              <w:t>Организация перемещения контейнера в границах Порта</w:t>
            </w:r>
          </w:p>
        </w:tc>
        <w:tc>
          <w:tcPr>
            <w:tcW w:w="961" w:type="dxa"/>
            <w:vAlign w:val="center"/>
          </w:tcPr>
          <w:p w14:paraId="7BB2E42D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8E889DC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8000,</w:t>
            </w:r>
            <w:r>
              <w:rPr>
                <w:b/>
                <w:color w:val="000000" w:themeColor="text1"/>
                <w:lang w:val="en-US"/>
              </w:rPr>
              <w:t>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2BFD8BF9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8000,</w:t>
            </w:r>
            <w:r>
              <w:rPr>
                <w:b/>
                <w:color w:val="000000" w:themeColor="text1"/>
                <w:lang w:val="en-US"/>
              </w:rPr>
              <w:t>00</w:t>
            </w:r>
          </w:p>
        </w:tc>
      </w:tr>
      <w:tr w:rsidR="00331315" w14:paraId="1AF2737A" w14:textId="77777777">
        <w:trPr>
          <w:trHeight w:val="460"/>
        </w:trPr>
        <w:tc>
          <w:tcPr>
            <w:tcW w:w="796" w:type="dxa"/>
            <w:vAlign w:val="center"/>
          </w:tcPr>
          <w:p w14:paraId="5B1F52B9" w14:textId="77777777" w:rsidR="00331315" w:rsidRDefault="00C27A24">
            <w:pPr>
              <w:jc w:val="center"/>
            </w:pPr>
            <w:r>
              <w:t>4.2.</w:t>
            </w:r>
          </w:p>
        </w:tc>
        <w:tc>
          <w:tcPr>
            <w:tcW w:w="5454" w:type="dxa"/>
            <w:vAlign w:val="center"/>
          </w:tcPr>
          <w:p w14:paraId="5BB56836" w14:textId="77777777" w:rsidR="00331315" w:rsidRDefault="00C27A24">
            <w:r>
              <w:rPr>
                <w:iCs/>
              </w:rPr>
              <w:t>Организация перемещения контейнера в границах Порта для целей досмотра/осмотра</w:t>
            </w:r>
          </w:p>
        </w:tc>
        <w:tc>
          <w:tcPr>
            <w:tcW w:w="961" w:type="dxa"/>
            <w:vAlign w:val="center"/>
          </w:tcPr>
          <w:p w14:paraId="596BB3C3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3DC1902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24000,00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DB81B0B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24000,</w:t>
            </w:r>
            <w:r>
              <w:rPr>
                <w:b/>
                <w:color w:val="000000" w:themeColor="text1"/>
                <w:lang w:val="en-US"/>
              </w:rPr>
              <w:t>00</w:t>
            </w:r>
          </w:p>
        </w:tc>
      </w:tr>
      <w:tr w:rsidR="00331315" w14:paraId="455BA6AC" w14:textId="77777777">
        <w:trPr>
          <w:trHeight w:val="920"/>
        </w:trPr>
        <w:tc>
          <w:tcPr>
            <w:tcW w:w="796" w:type="dxa"/>
            <w:vAlign w:val="center"/>
          </w:tcPr>
          <w:p w14:paraId="6244DA2C" w14:textId="77777777" w:rsidR="00331315" w:rsidRDefault="00C27A24">
            <w:pPr>
              <w:jc w:val="center"/>
            </w:pPr>
            <w:r>
              <w:t>4.3.</w:t>
            </w:r>
          </w:p>
        </w:tc>
        <w:tc>
          <w:tcPr>
            <w:tcW w:w="5454" w:type="dxa"/>
            <w:vAlign w:val="center"/>
          </w:tcPr>
          <w:p w14:paraId="0672B56F" w14:textId="77777777" w:rsidR="00331315" w:rsidRDefault="00C27A24">
            <w:pPr>
              <w:rPr>
                <w:iCs/>
              </w:rPr>
            </w:pPr>
            <w:r>
              <w:rPr>
                <w:iCs/>
              </w:rPr>
              <w:t>Организация перемещения контейнера в границах Порта для целей осмотра с использованием мобильного инспекционно-досмотрового комплекса (ИДК)</w:t>
            </w:r>
          </w:p>
        </w:tc>
        <w:tc>
          <w:tcPr>
            <w:tcW w:w="961" w:type="dxa"/>
            <w:vAlign w:val="center"/>
          </w:tcPr>
          <w:p w14:paraId="79A728EE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CDA28DA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8000,</w:t>
            </w:r>
            <w:r>
              <w:rPr>
                <w:b/>
                <w:color w:val="000000" w:themeColor="text1"/>
                <w:lang w:val="en-US"/>
              </w:rPr>
              <w:t>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85DE65E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8000,</w:t>
            </w:r>
            <w:r>
              <w:rPr>
                <w:b/>
                <w:color w:val="000000" w:themeColor="text1"/>
                <w:lang w:val="en-US"/>
              </w:rPr>
              <w:t>00</w:t>
            </w:r>
          </w:p>
        </w:tc>
      </w:tr>
      <w:tr w:rsidR="00331315" w14:paraId="7A60FFA2" w14:textId="77777777">
        <w:trPr>
          <w:trHeight w:val="460"/>
        </w:trPr>
        <w:tc>
          <w:tcPr>
            <w:tcW w:w="796" w:type="dxa"/>
            <w:vAlign w:val="center"/>
          </w:tcPr>
          <w:p w14:paraId="6815FE81" w14:textId="77777777" w:rsidR="00331315" w:rsidRDefault="00C27A24">
            <w:pPr>
              <w:jc w:val="center"/>
            </w:pPr>
            <w:r>
              <w:t>4.4.</w:t>
            </w:r>
          </w:p>
        </w:tc>
        <w:tc>
          <w:tcPr>
            <w:tcW w:w="5454" w:type="dxa"/>
            <w:vAlign w:val="center"/>
          </w:tcPr>
          <w:p w14:paraId="2ED19BE4" w14:textId="77777777" w:rsidR="00331315" w:rsidRDefault="00C27A24">
            <w:pPr>
              <w:rPr>
                <w:iCs/>
              </w:rPr>
            </w:pPr>
            <w:r>
              <w:rPr>
                <w:iCs/>
              </w:rPr>
              <w:t>Организация перемещения контейнера в границах Порта для целей взвешивания</w:t>
            </w:r>
          </w:p>
        </w:tc>
        <w:tc>
          <w:tcPr>
            <w:tcW w:w="961" w:type="dxa"/>
            <w:vAlign w:val="center"/>
          </w:tcPr>
          <w:p w14:paraId="3A564B6D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1B986705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8000,</w:t>
            </w:r>
            <w:r>
              <w:rPr>
                <w:b/>
                <w:color w:val="000000" w:themeColor="text1"/>
                <w:lang w:val="en-US"/>
              </w:rPr>
              <w:t>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40B4FD2A" w14:textId="77777777" w:rsidR="00331315" w:rsidRDefault="00C27A24">
            <w:pPr>
              <w:jc w:val="center"/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 w:themeColor="text1"/>
              </w:rPr>
              <w:t>8000,</w:t>
            </w:r>
            <w:r>
              <w:rPr>
                <w:b/>
                <w:color w:val="000000" w:themeColor="text1"/>
                <w:lang w:val="en-US"/>
              </w:rPr>
              <w:t>00</w:t>
            </w:r>
          </w:p>
        </w:tc>
      </w:tr>
      <w:tr w:rsidR="00331315" w14:paraId="674D6C56" w14:textId="77777777">
        <w:trPr>
          <w:trHeight w:val="920"/>
        </w:trPr>
        <w:tc>
          <w:tcPr>
            <w:tcW w:w="796" w:type="dxa"/>
            <w:vAlign w:val="center"/>
          </w:tcPr>
          <w:p w14:paraId="763BDFB6" w14:textId="77777777" w:rsidR="00331315" w:rsidRDefault="00C27A24">
            <w:pPr>
              <w:jc w:val="center"/>
            </w:pPr>
            <w:r>
              <w:t>4.5.</w:t>
            </w:r>
          </w:p>
        </w:tc>
        <w:tc>
          <w:tcPr>
            <w:tcW w:w="5454" w:type="dxa"/>
            <w:vAlign w:val="center"/>
          </w:tcPr>
          <w:p w14:paraId="72023EAD" w14:textId="77777777" w:rsidR="00331315" w:rsidRDefault="00C27A24">
            <w:pPr>
              <w:rPr>
                <w:bCs/>
              </w:rPr>
            </w:pPr>
            <w:r>
              <w:rPr>
                <w:iCs/>
              </w:rPr>
              <w:t>Организация перемещения контейнера в границах Порта для целей приведения дефектного контейнера в транспортабельное состояние (для подработки контейнера)</w:t>
            </w:r>
          </w:p>
        </w:tc>
        <w:tc>
          <w:tcPr>
            <w:tcW w:w="961" w:type="dxa"/>
            <w:vAlign w:val="center"/>
          </w:tcPr>
          <w:p w14:paraId="5B2B72E6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2CE3CBBB" w14:textId="77777777" w:rsidR="00331315" w:rsidRDefault="00C27A24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8000,</w:t>
            </w:r>
            <w:r>
              <w:rPr>
                <w:b/>
                <w:lang w:val="en-US"/>
              </w:rPr>
              <w:t>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3A0B872C" w14:textId="77777777" w:rsidR="00331315" w:rsidRDefault="00C27A24">
            <w:pPr>
              <w:jc w:val="center"/>
              <w:rPr>
                <w:b/>
                <w:highlight w:val="yellow"/>
              </w:rPr>
            </w:pPr>
            <w:r>
              <w:rPr>
                <w:b/>
              </w:rPr>
              <w:t>8000,</w:t>
            </w:r>
            <w:r>
              <w:rPr>
                <w:b/>
                <w:lang w:val="en-US"/>
              </w:rPr>
              <w:t>00</w:t>
            </w:r>
          </w:p>
        </w:tc>
      </w:tr>
      <w:tr w:rsidR="00331315" w14:paraId="6F9986DE" w14:textId="77777777">
        <w:trPr>
          <w:trHeight w:val="230"/>
        </w:trPr>
        <w:tc>
          <w:tcPr>
            <w:tcW w:w="796" w:type="dxa"/>
            <w:vAlign w:val="center"/>
          </w:tcPr>
          <w:p w14:paraId="204218C7" w14:textId="77777777" w:rsidR="00331315" w:rsidRDefault="00C27A24">
            <w:pPr>
              <w:jc w:val="center"/>
            </w:pPr>
            <w:r>
              <w:t>4.6.1.</w:t>
            </w:r>
          </w:p>
        </w:tc>
        <w:tc>
          <w:tcPr>
            <w:tcW w:w="5454" w:type="dxa"/>
            <w:vAlign w:val="center"/>
          </w:tcPr>
          <w:p w14:paraId="22BD5599" w14:textId="77777777" w:rsidR="00331315" w:rsidRDefault="00C27A24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Оформление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Экспедитором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сертификата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VGM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 заявке, поданной до приёма контейнера на Терминал</w:t>
            </w:r>
          </w:p>
        </w:tc>
        <w:tc>
          <w:tcPr>
            <w:tcW w:w="961" w:type="dxa"/>
            <w:vAlign w:val="center"/>
          </w:tcPr>
          <w:p w14:paraId="5489971D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3D7706C8" w14:textId="77777777" w:rsidR="00331315" w:rsidRDefault="00C27A24">
            <w:pPr>
              <w:jc w:val="center"/>
              <w:rPr>
                <w:b/>
              </w:rPr>
            </w:pPr>
            <w:r>
              <w:rPr>
                <w:b/>
              </w:rPr>
              <w:t>4500,00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1A4BF8EE" w14:textId="77777777" w:rsidR="00331315" w:rsidRDefault="00C27A24">
            <w:pPr>
              <w:jc w:val="center"/>
              <w:rPr>
                <w:b/>
              </w:rPr>
            </w:pPr>
            <w:r>
              <w:rPr>
                <w:b/>
              </w:rPr>
              <w:t>4500,00</w:t>
            </w:r>
          </w:p>
        </w:tc>
      </w:tr>
      <w:tr w:rsidR="00331315" w14:paraId="72F07FCA" w14:textId="77777777">
        <w:trPr>
          <w:trHeight w:val="230"/>
        </w:trPr>
        <w:tc>
          <w:tcPr>
            <w:tcW w:w="796" w:type="dxa"/>
            <w:vAlign w:val="center"/>
          </w:tcPr>
          <w:p w14:paraId="6FD7ECA1" w14:textId="77777777" w:rsidR="00331315" w:rsidRDefault="00C27A24">
            <w:pPr>
              <w:jc w:val="center"/>
            </w:pPr>
            <w:r>
              <w:t>4.6.2.</w:t>
            </w:r>
          </w:p>
        </w:tc>
        <w:tc>
          <w:tcPr>
            <w:tcW w:w="5454" w:type="dxa"/>
            <w:vAlign w:val="center"/>
          </w:tcPr>
          <w:p w14:paraId="499DD19A" w14:textId="77777777" w:rsidR="00331315" w:rsidRDefault="00C27A24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Оформление Экспедитором сертификата VGM по заявке, поданной после приёма контейнера на Терминал</w:t>
            </w:r>
          </w:p>
        </w:tc>
        <w:tc>
          <w:tcPr>
            <w:tcW w:w="961" w:type="dxa"/>
            <w:vAlign w:val="center"/>
          </w:tcPr>
          <w:p w14:paraId="467ED730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764" w:type="dxa"/>
            <w:shd w:val="clear" w:color="auto" w:fill="auto"/>
            <w:vAlign w:val="center"/>
          </w:tcPr>
          <w:p w14:paraId="0B1228E7" w14:textId="77777777" w:rsidR="00331315" w:rsidRDefault="00C27A24">
            <w:pPr>
              <w:jc w:val="center"/>
              <w:rPr>
                <w:b/>
              </w:rPr>
            </w:pPr>
            <w:r>
              <w:rPr>
                <w:b/>
              </w:rPr>
              <w:t>8000,00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52B7DEF0" w14:textId="77777777" w:rsidR="00331315" w:rsidRDefault="00C27A24">
            <w:pPr>
              <w:jc w:val="center"/>
              <w:rPr>
                <w:b/>
              </w:rPr>
            </w:pPr>
            <w:r>
              <w:rPr>
                <w:b/>
              </w:rPr>
              <w:t>8000,00</w:t>
            </w:r>
          </w:p>
        </w:tc>
      </w:tr>
    </w:tbl>
    <w:p w14:paraId="0F636A16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Примечание к п.4:</w:t>
      </w:r>
    </w:p>
    <w:p w14:paraId="73E991A6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 xml:space="preserve">Тарифы на дополнительные услуги и работы применяются при расчете стоимости оказанных Экспедитором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в интересах Клиента услуг/выполненных работ, в том числе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 соответствии с отдельными заявками Клиента и/или требованиями государственных контрольных органов.</w:t>
      </w:r>
    </w:p>
    <w:p w14:paraId="62858E54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2. Тариф согласно п.4.1. «</w:t>
      </w:r>
      <w:r>
        <w:rPr>
          <w:rFonts w:ascii="Times New Roman" w:hAnsi="Times New Roman" w:cs="Times New Roman"/>
          <w:i/>
          <w:iCs/>
          <w:sz w:val="20"/>
          <w:szCs w:val="20"/>
        </w:rPr>
        <w:t>Организация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перемещения контейнера в границах Порта»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включает стоимость:</w:t>
      </w:r>
    </w:p>
    <w:p w14:paraId="38B224A0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а) выемку груженого контейнера из штабеля, перемещение контейнера в зону оказания услуг / производства работ, перемещение контейнера к месту складирования, постановку груженого контейнера в штабель.</w:t>
      </w:r>
      <w:r>
        <w:rPr>
          <w:rFonts w:ascii="Times New Roman" w:hAnsi="Times New Roman" w:cs="Times New Roman"/>
          <w:sz w:val="20"/>
          <w:szCs w:val="20"/>
        </w:rPr>
        <w:br/>
        <w:t>б) выемку груженого контейнера из штабеля, перемещение контейнера в зону отгрузки, погрузку/выгрузку контейнера на/с транспортное средство, перемещение контейнера к месту складирования, постановку груженого контейнера в штабель - в случае отмены погрузки контейнера на транспортное средство/морское судно по причинам, не зависящим от Экспедитора.</w:t>
      </w:r>
      <w:r>
        <w:rPr>
          <w:rFonts w:ascii="Times New Roman" w:hAnsi="Times New Roman" w:cs="Times New Roman"/>
          <w:sz w:val="20"/>
          <w:szCs w:val="20"/>
        </w:rPr>
        <w:br/>
        <w:t xml:space="preserve"> в) перемещение груженого, вновь затаренного Экспедитором контейнера, после перетарки в него груза из другого контейнера по заявке Клиента, из зоны перетарки на Терминале к месту складирования, постановку контейнера в штабель, выемку контейнера из штабеля, погрузку груженого контейнера на транспортное средство/морское судно. При этом сроки технологического накопления и хранения вновь затаренного контейнера рассчитываются непрерывно, от даты приемки растаренного контейнера на Терминал.</w:t>
      </w:r>
    </w:p>
    <w:p w14:paraId="2533EE7C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тариф применяется в случае отмены оказания услуг по причинам, не зависящим от Экспедитора.</w:t>
      </w:r>
    </w:p>
    <w:p w14:paraId="5450D526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hAnsi="Times New Roman" w:cs="Times New Roman"/>
          <w:iCs/>
          <w:sz w:val="20"/>
          <w:szCs w:val="20"/>
        </w:rPr>
        <w:t xml:space="preserve">Тариф согласно п.4.2. </w:t>
      </w:r>
      <w:r>
        <w:rPr>
          <w:rFonts w:ascii="Times New Roman" w:hAnsi="Times New Roman" w:cs="Times New Roman"/>
          <w:i/>
          <w:iCs/>
          <w:sz w:val="20"/>
          <w:szCs w:val="20"/>
        </w:rPr>
        <w:t>«Организация перемещения контейнера в границах Порта для целей досмотра/осмотра»</w:t>
      </w:r>
      <w:r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оказания услуг, снятие пломб, открытие/закрытие дверей контейнера, необходимые перемещения груза с выемкой и погрузкой груза из/в контейнер, в том числе взвешивание груза, выемка/постановка щита из/в контейнер (при его наличии), а так же наложение пломб на контейнер с учетом стоимости материала, операции по контролю проведения, фотофиксации и оформления отчета о ходе выполнения таможенного досмотра/осмотра.</w:t>
      </w:r>
    </w:p>
    <w:p w14:paraId="3C0E054C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Тариф «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Организация перемещения </w:t>
      </w:r>
      <w:r>
        <w:rPr>
          <w:rFonts w:ascii="Times New Roman" w:hAnsi="Times New Roman" w:cs="Times New Roman"/>
          <w:i/>
          <w:sz w:val="20"/>
          <w:szCs w:val="20"/>
        </w:rPr>
        <w:t xml:space="preserve">контейнера в границах Порта для целей </w:t>
      </w:r>
      <w:r>
        <w:rPr>
          <w:rFonts w:ascii="Times New Roman" w:hAnsi="Times New Roman" w:cs="Times New Roman"/>
          <w:i/>
          <w:iCs/>
          <w:sz w:val="20"/>
          <w:szCs w:val="20"/>
        </w:rPr>
        <w:t>досмотра/осмотра</w:t>
      </w:r>
      <w:r>
        <w:rPr>
          <w:rFonts w:ascii="Times New Roman" w:hAnsi="Times New Roman" w:cs="Times New Roman"/>
          <w:sz w:val="20"/>
          <w:szCs w:val="20"/>
        </w:rPr>
        <w:t xml:space="preserve">» также применяется в случае выставления контейнера в досмотровую зону по требованию таможенного или иных государственных органов для производства работ по растарке (частичной растарке) контейнера в целях изъятия груза. </w:t>
      </w:r>
    </w:p>
    <w:p w14:paraId="00EDFD12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>
        <w:rPr>
          <w:rFonts w:ascii="Times New Roman" w:hAnsi="Times New Roman" w:cs="Times New Roman"/>
          <w:iCs/>
          <w:sz w:val="20"/>
          <w:szCs w:val="20"/>
        </w:rPr>
        <w:t>Тариф согласно п.4.3. «</w:t>
      </w:r>
      <w:r>
        <w:rPr>
          <w:rFonts w:ascii="Times New Roman" w:hAnsi="Times New Roman" w:cs="Times New Roman"/>
          <w:i/>
          <w:sz w:val="20"/>
          <w:szCs w:val="20"/>
        </w:rPr>
        <w:t>Организация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перемещения контейнера для целей осмотра с использованием мобильного инспекционно-досмотрового комплекса (ИДК)</w:t>
      </w:r>
      <w:r>
        <w:rPr>
          <w:rFonts w:ascii="Times New Roman" w:hAnsi="Times New Roman" w:cs="Times New Roman"/>
          <w:iCs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осмотра ИДК, операции по контролю проведения, фотофиксации и оформления отчета о ходе выполнения таможенного досмотра/осмотра.</w:t>
      </w:r>
    </w:p>
    <w:p w14:paraId="45124174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5. </w:t>
      </w:r>
      <w:r>
        <w:rPr>
          <w:rFonts w:ascii="Times New Roman" w:hAnsi="Times New Roman" w:cs="Times New Roman"/>
          <w:iCs/>
          <w:sz w:val="20"/>
          <w:szCs w:val="20"/>
        </w:rPr>
        <w:t xml:space="preserve">Тариф согласно п.4.4. </w:t>
      </w:r>
      <w:r>
        <w:rPr>
          <w:rFonts w:ascii="Times New Roman" w:hAnsi="Times New Roman" w:cs="Times New Roman"/>
          <w:i/>
          <w:iCs/>
          <w:sz w:val="20"/>
          <w:szCs w:val="20"/>
        </w:rPr>
        <w:t>«Организация перемещения контейнера в границах Порта для целей взвешивания»</w:t>
      </w:r>
      <w:r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оказания услуг, погрузку/выгрузку контейнера на/с транспортное средство в целях взвешивания, взвешивание контейнера в целях определения веса брутто контейнера, операции по контролю проведения, фотофиксации и оформления отчета о ходе выполнения таможенного досмотра/осмотра.</w:t>
      </w:r>
    </w:p>
    <w:p w14:paraId="6865D588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Тариф согласно п.4.5. </w:t>
      </w:r>
      <w:r>
        <w:rPr>
          <w:rFonts w:ascii="Times New Roman" w:hAnsi="Times New Roman" w:cs="Times New Roman"/>
          <w:i/>
          <w:iCs/>
          <w:sz w:val="20"/>
          <w:szCs w:val="20"/>
        </w:rPr>
        <w:t>«Организация перемещения контейнера в границах Порта для целей приведения дефектного контейнера в транспортабельное состояние (для подработки контейнера)»</w:t>
      </w:r>
      <w:r>
        <w:rPr>
          <w:rFonts w:ascii="Times New Roman" w:hAnsi="Times New Roman" w:cs="Times New Roman"/>
          <w:sz w:val="20"/>
          <w:szCs w:val="20"/>
        </w:rPr>
        <w:t xml:space="preserve"> включает стоимость следующих операций: выемку/постановку контейнера из/в штабель, перемещение контейнера в/из зоны оказания услуг в зону ремонта контейнеров, погрузку/выгрузку контейнера на/с транспортное средство, операции по контролю проведения, фотофиксации и оформления отчета о ходе выполнения таможенного досмотра/осмотра.</w:t>
      </w:r>
    </w:p>
    <w:p w14:paraId="25BDB845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Тариф согласно п.4.6.1, п. 4.6.2.</w:t>
      </w:r>
      <w:r>
        <w:rPr>
          <w:rFonts w:ascii="Times New Roman" w:hAnsi="Times New Roman" w:cs="Times New Roman"/>
          <w:i/>
          <w:sz w:val="20"/>
          <w:szCs w:val="20"/>
        </w:rPr>
        <w:t xml:space="preserve"> «Оформление Экспедитором сертификата VGM»</w:t>
      </w:r>
      <w:r>
        <w:rPr>
          <w:rFonts w:ascii="Times New Roman" w:hAnsi="Times New Roman" w:cs="Times New Roman"/>
          <w:sz w:val="20"/>
          <w:szCs w:val="20"/>
        </w:rPr>
        <w:t xml:space="preserve"> осуществляется по заявке заказчика и включает стоимость операций по перемещению гружёного контейнера в целях определения параметров контейнера для погрузки контейнера на Судно, предусмотренных международной конвенцией СОЛАС-74, с выдачей электронного сертификата.</w:t>
      </w:r>
    </w:p>
    <w:p w14:paraId="7A52FE30" w14:textId="77777777" w:rsidR="00331315" w:rsidRDefault="00331315">
      <w:pPr>
        <w:pStyle w:val="af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CEE7072" w14:textId="77777777" w:rsidR="00331315" w:rsidRDefault="00331315">
      <w:pPr>
        <w:shd w:val="clear" w:color="auto" w:fill="FFFFFF"/>
        <w:tabs>
          <w:tab w:val="left" w:pos="0"/>
        </w:tabs>
        <w:rPr>
          <w:b/>
        </w:rPr>
      </w:pPr>
    </w:p>
    <w:p w14:paraId="425CACBE" w14:textId="77777777" w:rsidR="00331315" w:rsidRDefault="00C27A24">
      <w:pPr>
        <w:pStyle w:val="afa"/>
        <w:numPr>
          <w:ilvl w:val="0"/>
          <w:numId w:val="5"/>
        </w:numPr>
        <w:tabs>
          <w:tab w:val="left" w:pos="284"/>
        </w:tabs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Приведение грузов/контейнеров в транспортабельное состояние </w:t>
      </w:r>
    </w:p>
    <w:p w14:paraId="785BBB01" w14:textId="77777777" w:rsidR="00331315" w:rsidRDefault="00331315">
      <w:pPr>
        <w:shd w:val="clear" w:color="auto" w:fill="FFFFFF"/>
        <w:tabs>
          <w:tab w:val="left" w:pos="0"/>
        </w:tabs>
        <w:ind w:left="360"/>
        <w:rPr>
          <w:b/>
        </w:rPr>
      </w:pPr>
    </w:p>
    <w:tbl>
      <w:tblPr>
        <w:tblStyle w:val="af6"/>
        <w:tblW w:w="10859" w:type="dxa"/>
        <w:tblLayout w:type="fixed"/>
        <w:tblLook w:val="04A0" w:firstRow="1" w:lastRow="0" w:firstColumn="1" w:lastColumn="0" w:noHBand="0" w:noVBand="1"/>
      </w:tblPr>
      <w:tblGrid>
        <w:gridCol w:w="652"/>
        <w:gridCol w:w="5099"/>
        <w:gridCol w:w="821"/>
        <w:gridCol w:w="2139"/>
        <w:gridCol w:w="2148"/>
      </w:tblGrid>
      <w:tr w:rsidR="00331315" w14:paraId="4F7E37CA" w14:textId="77777777">
        <w:trPr>
          <w:trHeight w:val="895"/>
        </w:trPr>
        <w:tc>
          <w:tcPr>
            <w:tcW w:w="652" w:type="dxa"/>
            <w:vMerge w:val="restart"/>
          </w:tcPr>
          <w:p w14:paraId="7222083A" w14:textId="77777777" w:rsidR="00331315" w:rsidRDefault="00331315">
            <w:pPr>
              <w:jc w:val="center"/>
            </w:pPr>
          </w:p>
          <w:p w14:paraId="1EA28472" w14:textId="77777777" w:rsidR="00331315" w:rsidRDefault="00C27A24">
            <w:pPr>
              <w:jc w:val="center"/>
              <w:rPr>
                <w:b/>
              </w:rPr>
            </w:pPr>
            <w:r>
              <w:t>No</w:t>
            </w:r>
          </w:p>
        </w:tc>
        <w:tc>
          <w:tcPr>
            <w:tcW w:w="5099" w:type="dxa"/>
            <w:vMerge w:val="restart"/>
          </w:tcPr>
          <w:p w14:paraId="5BBFC821" w14:textId="77777777" w:rsidR="00331315" w:rsidRDefault="00331315">
            <w:pPr>
              <w:jc w:val="center"/>
            </w:pPr>
          </w:p>
          <w:p w14:paraId="676D7519" w14:textId="77777777" w:rsidR="00331315" w:rsidRDefault="00C27A24">
            <w:pPr>
              <w:jc w:val="center"/>
              <w:rPr>
                <w:b/>
              </w:rPr>
            </w:pPr>
            <w:r>
              <w:t>Наименование услуги</w:t>
            </w:r>
          </w:p>
        </w:tc>
        <w:tc>
          <w:tcPr>
            <w:tcW w:w="821" w:type="dxa"/>
            <w:vMerge w:val="restart"/>
          </w:tcPr>
          <w:p w14:paraId="6D323B7D" w14:textId="77777777" w:rsidR="00331315" w:rsidRDefault="00C27A24">
            <w:pPr>
              <w:jc w:val="center"/>
              <w:rPr>
                <w:b/>
              </w:rPr>
            </w:pPr>
            <w:r>
              <w:t>Ед. изм.</w:t>
            </w:r>
          </w:p>
        </w:tc>
        <w:tc>
          <w:tcPr>
            <w:tcW w:w="4287" w:type="dxa"/>
            <w:gridSpan w:val="2"/>
          </w:tcPr>
          <w:p w14:paraId="3B210A78" w14:textId="77777777" w:rsidR="00331315" w:rsidRDefault="00C27A24">
            <w:pPr>
              <w:jc w:val="center"/>
            </w:pPr>
            <w:r>
              <w:t xml:space="preserve">Стоимость в руб. </w:t>
            </w:r>
          </w:p>
          <w:p w14:paraId="7D9B7256" w14:textId="77777777" w:rsidR="00331315" w:rsidRDefault="00C27A24">
            <w:pPr>
              <w:jc w:val="center"/>
              <w:rPr>
                <w:b/>
              </w:rPr>
            </w:pPr>
            <w:r>
              <w:t>за единицу измерения</w:t>
            </w:r>
          </w:p>
        </w:tc>
      </w:tr>
      <w:tr w:rsidR="00331315" w14:paraId="40AED1A1" w14:textId="77777777">
        <w:trPr>
          <w:trHeight w:val="467"/>
        </w:trPr>
        <w:tc>
          <w:tcPr>
            <w:tcW w:w="652" w:type="dxa"/>
            <w:vMerge/>
          </w:tcPr>
          <w:p w14:paraId="382F259D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5099" w:type="dxa"/>
            <w:vMerge/>
          </w:tcPr>
          <w:p w14:paraId="03C2BABA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821" w:type="dxa"/>
            <w:vMerge/>
          </w:tcPr>
          <w:p w14:paraId="60821802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2139" w:type="dxa"/>
          </w:tcPr>
          <w:p w14:paraId="79DFE588" w14:textId="77777777" w:rsidR="00331315" w:rsidRDefault="00C27A24">
            <w:pPr>
              <w:jc w:val="center"/>
              <w:rPr>
                <w:b/>
              </w:rPr>
            </w:pPr>
            <w:r>
              <w:t>20-фут. ктк</w:t>
            </w:r>
          </w:p>
        </w:tc>
        <w:tc>
          <w:tcPr>
            <w:tcW w:w="2147" w:type="dxa"/>
          </w:tcPr>
          <w:p w14:paraId="1D758653" w14:textId="77777777" w:rsidR="00331315" w:rsidRDefault="00C27A24">
            <w:pPr>
              <w:jc w:val="center"/>
              <w:rPr>
                <w:b/>
              </w:rPr>
            </w:pPr>
            <w:r>
              <w:t>40-фут. ктк</w:t>
            </w:r>
          </w:p>
        </w:tc>
      </w:tr>
      <w:tr w:rsidR="00331315" w14:paraId="3BFA0149" w14:textId="77777777">
        <w:trPr>
          <w:trHeight w:val="447"/>
        </w:trPr>
        <w:tc>
          <w:tcPr>
            <w:tcW w:w="10859" w:type="dxa"/>
            <w:gridSpan w:val="5"/>
            <w:vAlign w:val="center"/>
          </w:tcPr>
          <w:p w14:paraId="0DACDF2A" w14:textId="77777777" w:rsidR="00331315" w:rsidRDefault="00C27A24">
            <w:pPr>
              <w:rPr>
                <w:b/>
                <w:highlight w:val="yellow"/>
              </w:rPr>
            </w:pPr>
            <w:r>
              <w:rPr>
                <w:b/>
              </w:rPr>
              <w:t xml:space="preserve">Груженые экспортные, </w:t>
            </w:r>
            <w:r>
              <w:rPr>
                <w:b/>
                <w:color w:val="000000" w:themeColor="text1"/>
              </w:rPr>
              <w:t xml:space="preserve">транзитные </w:t>
            </w:r>
            <w:r>
              <w:rPr>
                <w:b/>
              </w:rPr>
              <w:t>контейнеры</w:t>
            </w:r>
          </w:p>
        </w:tc>
      </w:tr>
      <w:tr w:rsidR="00331315" w14:paraId="64F07BB0" w14:textId="77777777">
        <w:trPr>
          <w:trHeight w:val="843"/>
        </w:trPr>
        <w:tc>
          <w:tcPr>
            <w:tcW w:w="652" w:type="dxa"/>
            <w:vAlign w:val="center"/>
          </w:tcPr>
          <w:p w14:paraId="01101BC0" w14:textId="77777777" w:rsidR="00331315" w:rsidRDefault="00C27A24">
            <w:pPr>
              <w:jc w:val="center"/>
            </w:pPr>
            <w:r>
              <w:t>5.1.</w:t>
            </w:r>
          </w:p>
        </w:tc>
        <w:tc>
          <w:tcPr>
            <w:tcW w:w="5099" w:type="dxa"/>
            <w:vAlign w:val="center"/>
          </w:tcPr>
          <w:p w14:paraId="62053A23" w14:textId="77777777" w:rsidR="00331315" w:rsidRDefault="00C27A24">
            <w:pPr>
              <w:jc w:val="both"/>
              <w:rPr>
                <w:bCs/>
                <w:iCs/>
              </w:rPr>
            </w:pPr>
            <w:r>
              <w:rPr>
                <w:iCs/>
              </w:rPr>
              <w:t>Приведение дефектного контейнера в транспортабельное состояние (подработка контейнера)</w:t>
            </w:r>
          </w:p>
        </w:tc>
        <w:tc>
          <w:tcPr>
            <w:tcW w:w="821" w:type="dxa"/>
            <w:vAlign w:val="center"/>
          </w:tcPr>
          <w:p w14:paraId="7D94430E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3BDD5C6F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2000,00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62FDAFA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2000,00</w:t>
            </w:r>
          </w:p>
        </w:tc>
      </w:tr>
      <w:tr w:rsidR="00331315" w14:paraId="48BC4C62" w14:textId="77777777">
        <w:trPr>
          <w:trHeight w:val="895"/>
        </w:trPr>
        <w:tc>
          <w:tcPr>
            <w:tcW w:w="652" w:type="dxa"/>
            <w:vAlign w:val="center"/>
          </w:tcPr>
          <w:p w14:paraId="78C60B17" w14:textId="77777777" w:rsidR="00331315" w:rsidRDefault="00C27A24">
            <w:pPr>
              <w:jc w:val="center"/>
            </w:pPr>
            <w:r>
              <w:t>5.2.</w:t>
            </w:r>
          </w:p>
        </w:tc>
        <w:tc>
          <w:tcPr>
            <w:tcW w:w="5099" w:type="dxa"/>
            <w:vAlign w:val="center"/>
          </w:tcPr>
          <w:p w14:paraId="60A470BB" w14:textId="77777777" w:rsidR="00331315" w:rsidRDefault="00C27A24">
            <w:pPr>
              <w:jc w:val="both"/>
            </w:pPr>
            <w:r>
              <w:t>Аварийная перетарка груза по варианту «контейнер – контейнер»</w:t>
            </w:r>
          </w:p>
        </w:tc>
        <w:tc>
          <w:tcPr>
            <w:tcW w:w="821" w:type="dxa"/>
            <w:vAlign w:val="center"/>
          </w:tcPr>
          <w:p w14:paraId="1F85AE0C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6672BC5A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25000,00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5AB0B929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25000,00</w:t>
            </w:r>
          </w:p>
        </w:tc>
      </w:tr>
      <w:tr w:rsidR="00331315" w14:paraId="15322892" w14:textId="77777777">
        <w:trPr>
          <w:trHeight w:val="895"/>
        </w:trPr>
        <w:tc>
          <w:tcPr>
            <w:tcW w:w="652" w:type="dxa"/>
            <w:vAlign w:val="center"/>
          </w:tcPr>
          <w:p w14:paraId="7ACB3A6B" w14:textId="77777777" w:rsidR="00331315" w:rsidRDefault="00C27A24">
            <w:pPr>
              <w:jc w:val="center"/>
            </w:pPr>
            <w:r>
              <w:t>5.3.</w:t>
            </w:r>
          </w:p>
        </w:tc>
        <w:tc>
          <w:tcPr>
            <w:tcW w:w="5099" w:type="dxa"/>
            <w:vAlign w:val="center"/>
          </w:tcPr>
          <w:p w14:paraId="618D0D82" w14:textId="77777777" w:rsidR="00331315" w:rsidRDefault="00C27A24">
            <w:pPr>
              <w:jc w:val="both"/>
            </w:pPr>
            <w:r>
              <w:t>Приведение контейнера в транспортабельное состояние (частичная растарка)</w:t>
            </w:r>
          </w:p>
        </w:tc>
        <w:tc>
          <w:tcPr>
            <w:tcW w:w="821" w:type="dxa"/>
            <w:vAlign w:val="center"/>
          </w:tcPr>
          <w:p w14:paraId="7B4C3121" w14:textId="77777777" w:rsidR="00331315" w:rsidRDefault="00C27A24">
            <w:r>
              <w:t>1 шт.</w:t>
            </w:r>
          </w:p>
        </w:tc>
        <w:tc>
          <w:tcPr>
            <w:tcW w:w="2139" w:type="dxa"/>
            <w:shd w:val="clear" w:color="auto" w:fill="auto"/>
            <w:vAlign w:val="center"/>
          </w:tcPr>
          <w:p w14:paraId="3505B753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13000,00</w:t>
            </w:r>
          </w:p>
        </w:tc>
        <w:tc>
          <w:tcPr>
            <w:tcW w:w="2147" w:type="dxa"/>
            <w:shd w:val="clear" w:color="auto" w:fill="auto"/>
            <w:vAlign w:val="center"/>
          </w:tcPr>
          <w:p w14:paraId="3756BA34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13000,00</w:t>
            </w:r>
          </w:p>
        </w:tc>
      </w:tr>
    </w:tbl>
    <w:p w14:paraId="404B2E0C" w14:textId="77777777" w:rsidR="00331315" w:rsidRDefault="0033131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1F32675D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Примечание к п.5:</w:t>
      </w:r>
    </w:p>
    <w:p w14:paraId="6BB42EED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>
        <w:rPr>
          <w:rFonts w:ascii="Times New Roman" w:hAnsi="Times New Roman" w:cs="Times New Roman"/>
          <w:iCs/>
          <w:sz w:val="20"/>
          <w:szCs w:val="20"/>
        </w:rPr>
        <w:t>Тариф согласно п.5.1.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«Приведение дефектного контейнера в транспортабельное состояние»</w:t>
      </w:r>
      <w:r>
        <w:rPr>
          <w:rFonts w:ascii="Times New Roman" w:hAnsi="Times New Roman" w:cs="Times New Roman"/>
          <w:sz w:val="20"/>
          <w:szCs w:val="20"/>
        </w:rPr>
        <w:t xml:space="preserve"> производится по заявке Клиента, включает стоимость работ по устранению дефектов контейнера.</w:t>
      </w:r>
    </w:p>
    <w:p w14:paraId="7A79399F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>
        <w:rPr>
          <w:rFonts w:ascii="Times New Roman" w:hAnsi="Times New Roman" w:cs="Times New Roman"/>
          <w:iCs/>
          <w:sz w:val="20"/>
          <w:szCs w:val="20"/>
        </w:rPr>
        <w:t xml:space="preserve">Тариф согласно п.5.2.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«Аварийная перетарка груза по варианту «контейнер – контейнер»» </w:t>
      </w:r>
      <w:r>
        <w:rPr>
          <w:rFonts w:ascii="Times New Roman" w:hAnsi="Times New Roman" w:cs="Times New Roman"/>
          <w:sz w:val="20"/>
          <w:szCs w:val="20"/>
        </w:rPr>
        <w:t>производится по заявке Клиента, в случаях обнаружения повреждения/поломки контейнера в процессе перевалки и хранения, по причинам, не зависящим от Экспедитора, и включает стоимость перетарки груза из поврежденного контейнера в тот же контейнер после ремонта, или другой контейнер, предоставленный Клиентом, и дополнительные перемещения в границах Порта.</w:t>
      </w:r>
    </w:p>
    <w:p w14:paraId="17A48EF6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hAnsi="Times New Roman" w:cs="Times New Roman"/>
          <w:iCs/>
          <w:sz w:val="20"/>
          <w:szCs w:val="20"/>
        </w:rPr>
        <w:t>Тариф согласно п.5.3. «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Приведение контейнера в транспортабельное состояние (частичная растарка)» - </w:t>
      </w:r>
      <w:r>
        <w:rPr>
          <w:rFonts w:ascii="Times New Roman" w:hAnsi="Times New Roman" w:cs="Times New Roman"/>
          <w:sz w:val="20"/>
          <w:szCs w:val="20"/>
        </w:rPr>
        <w:t>производится по заявке Клиента и включает в себя операции по перемещению груженого контейнера от места складирования в зону растарки контейнера, операции по раскреплению груза в контейнере (за исключением газорезочных работ), выгрузку груза из контейнера, погрузку груза на/в транспортное средство/контейнер, открытие/закрытие дверей контейнера, снятие/наложение пломбы, предоставленной Клиентом, с/на контейнер, раскрытие/укрытие груза укрывным материалом на/в контейнере (исключая стоимость материалов), кантовку груза в целях укладки груза в контейнере/на транспортном средстве.</w:t>
      </w:r>
    </w:p>
    <w:p w14:paraId="1F0D3322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Крепление груза в контейнере, до</w:t>
      </w:r>
      <w:r>
        <w:rPr>
          <w:rFonts w:ascii="Times New Roman" w:hAnsi="Times New Roman" w:cs="Times New Roman"/>
          <w:bCs/>
          <w:sz w:val="20"/>
          <w:szCs w:val="20"/>
        </w:rPr>
        <w:t>полнительное крепление груза в контейнере, у</w:t>
      </w:r>
      <w:r>
        <w:rPr>
          <w:rFonts w:ascii="Times New Roman" w:hAnsi="Times New Roman" w:cs="Times New Roman"/>
          <w:sz w:val="20"/>
          <w:szCs w:val="20"/>
        </w:rPr>
        <w:t>становка щита в контейнере и иные дополнительные работы/услуги осуществляются Экспедитором по заявкам Клиента, поданным в соответствии с договором и оплатой Клиентом согласно условий Договора.</w:t>
      </w:r>
    </w:p>
    <w:p w14:paraId="586F68EE" w14:textId="77777777" w:rsidR="00331315" w:rsidRDefault="0033131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45195A89" w14:textId="77777777" w:rsidR="00331315" w:rsidRDefault="0033131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78B31F12" w14:textId="77777777" w:rsidR="00331315" w:rsidRDefault="0033131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0ABBE58F" w14:textId="77777777" w:rsidR="00331315" w:rsidRDefault="00331315">
      <w:pPr>
        <w:pStyle w:val="af8"/>
        <w:jc w:val="both"/>
        <w:rPr>
          <w:rFonts w:ascii="Times New Roman" w:hAnsi="Times New Roman" w:cs="Times New Roman"/>
          <w:sz w:val="20"/>
          <w:szCs w:val="20"/>
        </w:rPr>
      </w:pPr>
    </w:p>
    <w:p w14:paraId="656267B4" w14:textId="77777777" w:rsidR="00331315" w:rsidRDefault="00C27A24">
      <w:pPr>
        <w:pStyle w:val="afa"/>
        <w:numPr>
          <w:ilvl w:val="0"/>
          <w:numId w:val="5"/>
        </w:numPr>
        <w:shd w:val="clear" w:color="auto" w:fill="FFFFFF"/>
        <w:tabs>
          <w:tab w:val="left" w:pos="0"/>
        </w:tabs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ru-RU"/>
        </w:rPr>
        <w:t xml:space="preserve">Внутрипортовое экспедирование </w:t>
      </w:r>
    </w:p>
    <w:p w14:paraId="0B314C8B" w14:textId="77777777" w:rsidR="00331315" w:rsidRDefault="00331315">
      <w:pPr>
        <w:shd w:val="clear" w:color="auto" w:fill="FFFFFF"/>
        <w:tabs>
          <w:tab w:val="left" w:pos="0"/>
        </w:tabs>
        <w:ind w:left="360"/>
        <w:rPr>
          <w:b/>
        </w:rPr>
      </w:pPr>
    </w:p>
    <w:tbl>
      <w:tblPr>
        <w:tblStyle w:val="af6"/>
        <w:tblW w:w="9360" w:type="dxa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708"/>
        <w:gridCol w:w="1844"/>
        <w:gridCol w:w="1851"/>
      </w:tblGrid>
      <w:tr w:rsidR="00331315" w14:paraId="679D8CCE" w14:textId="77777777">
        <w:tc>
          <w:tcPr>
            <w:tcW w:w="562" w:type="dxa"/>
            <w:vMerge w:val="restart"/>
          </w:tcPr>
          <w:p w14:paraId="7D523667" w14:textId="77777777" w:rsidR="00331315" w:rsidRDefault="00331315">
            <w:pPr>
              <w:jc w:val="center"/>
            </w:pPr>
          </w:p>
          <w:p w14:paraId="55FDF950" w14:textId="77777777" w:rsidR="00331315" w:rsidRDefault="00C27A24">
            <w:pPr>
              <w:jc w:val="center"/>
              <w:rPr>
                <w:b/>
              </w:rPr>
            </w:pPr>
            <w:r>
              <w:t>No</w:t>
            </w:r>
          </w:p>
        </w:tc>
        <w:tc>
          <w:tcPr>
            <w:tcW w:w="4395" w:type="dxa"/>
            <w:vMerge w:val="restart"/>
          </w:tcPr>
          <w:p w14:paraId="0B52617C" w14:textId="77777777" w:rsidR="00331315" w:rsidRDefault="00331315">
            <w:pPr>
              <w:jc w:val="center"/>
            </w:pPr>
          </w:p>
          <w:p w14:paraId="72728957" w14:textId="77777777" w:rsidR="00331315" w:rsidRDefault="00C27A24">
            <w:pPr>
              <w:jc w:val="center"/>
              <w:rPr>
                <w:b/>
              </w:rPr>
            </w:pPr>
            <w:r>
              <w:t>Наименование услуги</w:t>
            </w:r>
          </w:p>
        </w:tc>
        <w:tc>
          <w:tcPr>
            <w:tcW w:w="708" w:type="dxa"/>
            <w:vMerge w:val="restart"/>
          </w:tcPr>
          <w:p w14:paraId="2F0BD0C2" w14:textId="77777777" w:rsidR="00331315" w:rsidRDefault="00C27A24">
            <w:pPr>
              <w:jc w:val="center"/>
              <w:rPr>
                <w:b/>
              </w:rPr>
            </w:pPr>
            <w:r>
              <w:t>Ед. изм.</w:t>
            </w:r>
          </w:p>
        </w:tc>
        <w:tc>
          <w:tcPr>
            <w:tcW w:w="3695" w:type="dxa"/>
            <w:gridSpan w:val="2"/>
          </w:tcPr>
          <w:p w14:paraId="73546995" w14:textId="77777777" w:rsidR="00331315" w:rsidRDefault="00C27A24">
            <w:pPr>
              <w:jc w:val="center"/>
            </w:pPr>
            <w:r>
              <w:t xml:space="preserve">Стоимость в руб. </w:t>
            </w:r>
          </w:p>
          <w:p w14:paraId="0863616F" w14:textId="77777777" w:rsidR="00331315" w:rsidRDefault="00C27A24">
            <w:pPr>
              <w:jc w:val="center"/>
              <w:rPr>
                <w:b/>
              </w:rPr>
            </w:pPr>
            <w:r>
              <w:t>за единицу измерения</w:t>
            </w:r>
          </w:p>
        </w:tc>
      </w:tr>
      <w:tr w:rsidR="00331315" w14:paraId="7B81E1E8" w14:textId="77777777">
        <w:tc>
          <w:tcPr>
            <w:tcW w:w="562" w:type="dxa"/>
            <w:vMerge/>
          </w:tcPr>
          <w:p w14:paraId="222F9E7E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4395" w:type="dxa"/>
            <w:vMerge/>
          </w:tcPr>
          <w:p w14:paraId="17E01195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14:paraId="0A0F3163" w14:textId="77777777" w:rsidR="00331315" w:rsidRDefault="00331315">
            <w:pPr>
              <w:jc w:val="center"/>
              <w:rPr>
                <w:b/>
              </w:rPr>
            </w:pPr>
          </w:p>
        </w:tc>
        <w:tc>
          <w:tcPr>
            <w:tcW w:w="1844" w:type="dxa"/>
          </w:tcPr>
          <w:p w14:paraId="03E6558C" w14:textId="77777777" w:rsidR="00331315" w:rsidRDefault="00C27A24">
            <w:pPr>
              <w:jc w:val="center"/>
              <w:rPr>
                <w:b/>
              </w:rPr>
            </w:pPr>
            <w:r>
              <w:t>20-фут. ктк</w:t>
            </w:r>
          </w:p>
        </w:tc>
        <w:tc>
          <w:tcPr>
            <w:tcW w:w="1851" w:type="dxa"/>
          </w:tcPr>
          <w:p w14:paraId="366C8047" w14:textId="77777777" w:rsidR="00331315" w:rsidRDefault="00C27A24">
            <w:pPr>
              <w:jc w:val="center"/>
              <w:rPr>
                <w:b/>
              </w:rPr>
            </w:pPr>
            <w:r>
              <w:t>40-фут. ктк</w:t>
            </w:r>
          </w:p>
        </w:tc>
      </w:tr>
      <w:tr w:rsidR="00331315" w14:paraId="4B3E3F86" w14:textId="77777777">
        <w:tc>
          <w:tcPr>
            <w:tcW w:w="9360" w:type="dxa"/>
            <w:gridSpan w:val="5"/>
            <w:vAlign w:val="center"/>
          </w:tcPr>
          <w:p w14:paraId="40C47160" w14:textId="77777777" w:rsidR="00331315" w:rsidRDefault="00331315">
            <w:pPr>
              <w:rPr>
                <w:b/>
                <w:highlight w:val="yellow"/>
              </w:rPr>
            </w:pPr>
          </w:p>
        </w:tc>
      </w:tr>
      <w:tr w:rsidR="00331315" w14:paraId="5DD9D61C" w14:textId="77777777">
        <w:trPr>
          <w:trHeight w:val="883"/>
        </w:trPr>
        <w:tc>
          <w:tcPr>
            <w:tcW w:w="562" w:type="dxa"/>
            <w:vAlign w:val="center"/>
          </w:tcPr>
          <w:p w14:paraId="2E17D4BE" w14:textId="77777777" w:rsidR="00331315" w:rsidRDefault="00C27A24">
            <w:pPr>
              <w:jc w:val="center"/>
            </w:pPr>
            <w:r>
              <w:t>6.1.</w:t>
            </w:r>
          </w:p>
        </w:tc>
        <w:tc>
          <w:tcPr>
            <w:tcW w:w="4395" w:type="dxa"/>
            <w:vAlign w:val="center"/>
          </w:tcPr>
          <w:p w14:paraId="6349476D" w14:textId="77777777" w:rsidR="00331315" w:rsidRDefault="00C27A24">
            <w:pPr>
              <w:jc w:val="both"/>
              <w:rPr>
                <w:bCs/>
                <w:iCs/>
              </w:rPr>
            </w:pPr>
            <w:r>
              <w:rPr>
                <w:iCs/>
              </w:rPr>
              <w:t>Внутрипортовое экспедирование, связанное с обработкой груза в порту,</w:t>
            </w:r>
            <w:r>
              <w:t xml:space="preserve"> оформление и выпуск Экспедитором экспортного поручения (минимум 5000 р за поручение.)</w:t>
            </w:r>
          </w:p>
        </w:tc>
        <w:tc>
          <w:tcPr>
            <w:tcW w:w="708" w:type="dxa"/>
            <w:vAlign w:val="center"/>
          </w:tcPr>
          <w:p w14:paraId="0D46089A" w14:textId="77777777" w:rsidR="00331315" w:rsidRDefault="00C27A24">
            <w:pPr>
              <w:jc w:val="center"/>
            </w:pPr>
            <w:r>
              <w:t>1 шт.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52C4B3EA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1500,00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5F370C25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1500,00</w:t>
            </w:r>
          </w:p>
        </w:tc>
      </w:tr>
      <w:tr w:rsidR="00331315" w14:paraId="36121338" w14:textId="77777777">
        <w:trPr>
          <w:trHeight w:val="883"/>
        </w:trPr>
        <w:tc>
          <w:tcPr>
            <w:tcW w:w="562" w:type="dxa"/>
            <w:vAlign w:val="center"/>
          </w:tcPr>
          <w:p w14:paraId="08F7D4E1" w14:textId="77777777" w:rsidR="00331315" w:rsidRDefault="00C27A24">
            <w:pPr>
              <w:jc w:val="center"/>
            </w:pPr>
            <w:r>
              <w:t>6.2</w:t>
            </w:r>
          </w:p>
        </w:tc>
        <w:tc>
          <w:tcPr>
            <w:tcW w:w="4395" w:type="dxa"/>
            <w:vAlign w:val="center"/>
          </w:tcPr>
          <w:p w14:paraId="26AE7403" w14:textId="77777777" w:rsidR="00331315" w:rsidRDefault="00C27A24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Оклейка наклейками «опасный груз» (не включая сами наклейки).</w:t>
            </w:r>
          </w:p>
        </w:tc>
        <w:tc>
          <w:tcPr>
            <w:tcW w:w="708" w:type="dxa"/>
            <w:vAlign w:val="center"/>
          </w:tcPr>
          <w:p w14:paraId="0DA55A61" w14:textId="77777777" w:rsidR="00331315" w:rsidRDefault="00C27A24">
            <w:pPr>
              <w:jc w:val="center"/>
            </w:pPr>
            <w:r>
              <w:t>1 ктк</w:t>
            </w:r>
          </w:p>
        </w:tc>
        <w:tc>
          <w:tcPr>
            <w:tcW w:w="1844" w:type="dxa"/>
            <w:shd w:val="clear" w:color="auto" w:fill="auto"/>
            <w:vAlign w:val="center"/>
          </w:tcPr>
          <w:p w14:paraId="1B88F310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1800,00</w:t>
            </w:r>
          </w:p>
        </w:tc>
        <w:tc>
          <w:tcPr>
            <w:tcW w:w="1851" w:type="dxa"/>
            <w:shd w:val="clear" w:color="auto" w:fill="auto"/>
            <w:vAlign w:val="center"/>
          </w:tcPr>
          <w:p w14:paraId="6FE16CA6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1800,00</w:t>
            </w:r>
          </w:p>
        </w:tc>
      </w:tr>
      <w:tr w:rsidR="00331315" w14:paraId="434300D7" w14:textId="77777777">
        <w:trPr>
          <w:trHeight w:val="883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14:paraId="6E780902" w14:textId="77777777" w:rsidR="00331315" w:rsidRDefault="00C27A24">
            <w:pPr>
              <w:jc w:val="center"/>
            </w:pPr>
            <w:r>
              <w:t>6.3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vAlign w:val="center"/>
          </w:tcPr>
          <w:p w14:paraId="0DFE7E60" w14:textId="77777777" w:rsidR="00331315" w:rsidRDefault="00C27A24">
            <w:pPr>
              <w:pStyle w:val="af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Замена просроченных наклеек КБК, у которых осталось менее двух месяцев до окончания срока действия. (не включая возможные расходы на перемещение контейнера)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7742EB09" w14:textId="77777777" w:rsidR="00331315" w:rsidRDefault="00C27A24">
            <w:pPr>
              <w:jc w:val="center"/>
            </w:pPr>
            <w:r>
              <w:t>1 ктк</w:t>
            </w:r>
          </w:p>
        </w:tc>
        <w:tc>
          <w:tcPr>
            <w:tcW w:w="18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FA105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1500,00</w:t>
            </w:r>
          </w:p>
        </w:tc>
        <w:tc>
          <w:tcPr>
            <w:tcW w:w="1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111441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1500,00</w:t>
            </w:r>
          </w:p>
        </w:tc>
      </w:tr>
      <w:tr w:rsidR="00331315" w14:paraId="720DB3B3" w14:textId="77777777">
        <w:trPr>
          <w:trHeight w:val="88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226D" w14:textId="77777777" w:rsidR="00331315" w:rsidRDefault="00C27A24">
            <w:pPr>
              <w:jc w:val="center"/>
            </w:pPr>
            <w:r>
              <w:t>6.4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A622" w14:textId="77777777" w:rsidR="00331315" w:rsidRDefault="00C27A24">
            <w:pPr>
              <w:pStyle w:val="af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Навешивание бочковой пломбы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(включая стоимость материалов)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4DF9" w14:textId="77777777" w:rsidR="00331315" w:rsidRDefault="00C27A24">
            <w:pPr>
              <w:jc w:val="center"/>
            </w:pPr>
            <w:r>
              <w:t>1 пломба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751C0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900,00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81C2C" w14:textId="77777777" w:rsidR="00331315" w:rsidRDefault="00C27A2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 w:themeColor="text1"/>
              </w:rPr>
              <w:t>900,00</w:t>
            </w:r>
          </w:p>
        </w:tc>
      </w:tr>
    </w:tbl>
    <w:p w14:paraId="12B3D390" w14:textId="77777777" w:rsidR="00331315" w:rsidRDefault="00331315">
      <w:pPr>
        <w:pStyle w:val="af8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7C806C5" w14:textId="77777777" w:rsidR="00331315" w:rsidRDefault="00C27A24">
      <w:pPr>
        <w:pStyle w:val="af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 Коррекция коносамента после отхода судна оплачивается по тарифу: 3000 рублей за одну коррекцию. Оплата производится в рублях с НДС 0%. Выдача оригиналов коносаментов и отправка Seaway Bill производится только после оплаты счета.</w:t>
      </w:r>
    </w:p>
    <w:p w14:paraId="6FB863AB" w14:textId="77777777" w:rsidR="00331315" w:rsidRDefault="00C27A24">
      <w:pPr>
        <w:pStyle w:val="af8"/>
        <w:jc w:val="both"/>
        <w:rPr>
          <w:rFonts w:ascii="Times New Roman" w:hAnsi="Times New Roman" w:cs="Times New Roman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 Стоимость услуг и работ Экспедитора определяется</w:t>
      </w:r>
      <w:r>
        <w:rPr>
          <w:rFonts w:ascii="Times New Roman" w:hAnsi="Times New Roman" w:cs="Times New Roman"/>
          <w:sz w:val="20"/>
          <w:szCs w:val="20"/>
        </w:rPr>
        <w:t xml:space="preserve"> путем умножения соответствующего тарифа на количество единиц измерения.</w:t>
      </w:r>
    </w:p>
    <w:p w14:paraId="0FD4887E" w14:textId="77777777" w:rsidR="00331315" w:rsidRDefault="00C27A24">
      <w:pPr>
        <w:shd w:val="clear" w:color="auto" w:fill="FFFFFF"/>
        <w:jc w:val="both"/>
      </w:pPr>
      <w:r>
        <w:t xml:space="preserve">9. При расчете почасовой и посуточной стоимости услуг неполный час рассчитывается как полный, неполные сутки рассчитываются как полные. </w:t>
      </w:r>
    </w:p>
    <w:p w14:paraId="6784F681" w14:textId="77777777" w:rsidR="00331315" w:rsidRDefault="00C27A24">
      <w:pPr>
        <w:shd w:val="clear" w:color="auto" w:fill="FFFFFF"/>
        <w:jc w:val="both"/>
      </w:pPr>
      <w:bookmarkStart w:id="0" w:name="_Hlk104816701"/>
      <w:r>
        <w:rPr>
          <w:bCs/>
        </w:rPr>
        <w:t>10. Тарифы,</w:t>
      </w:r>
      <w:r>
        <w:t xml:space="preserve"> </w:t>
      </w:r>
      <w:r>
        <w:rPr>
          <w:bCs/>
        </w:rPr>
        <w:t xml:space="preserve">оговоренные в настоящем Приложении к Договору, </w:t>
      </w:r>
      <w:r>
        <w:t>не включают государственные налоги (налог на добавленную стоимость и др.), которые начисляются, выставляются к оплате и оплачиваются в том порядке и размере, как это установлено действующим законодательством Российской Федерации. Счета оплачиваются в рублях по курсу ЦБ на день выставления счета + конвертация, размер конвертации указан в договоре. Счета оплачиваются в течение 3-х банковских дней с даты выставления счета. В случае нарушения срока оплаты применяются пени в размере 0,1% в день от суммы просроченной задолженности за каждый день просрочки платежа.</w:t>
      </w:r>
    </w:p>
    <w:p w14:paraId="72F19D8F" w14:textId="77777777" w:rsidR="00331315" w:rsidRDefault="00C27A24">
      <w:pPr>
        <w:jc w:val="both"/>
      </w:pPr>
      <w:r>
        <w:rPr>
          <w:bCs/>
        </w:rPr>
        <w:t>11</w:t>
      </w:r>
      <w:r>
        <w:t>. Экспедитор вправе изменить стоимость экспортных ставок путем направления письменного уведомления (нотиса). Клиент обязан не позднее 24 (двадцати четырех) часов с момента подтверждения размещения букинга, направить по электронной почте Заявку с согласованной ставкой фрахта на экспорт из нотиса и прочими условиями осуществления перевозки, заверенной путем подписи ответственного лица, скрепленной печатью организации. В случае отсутствия Заявки от Клиента в вышеуказанный срок Экспедитор вправе приостановить оказание услуг до момента получения Заявки.</w:t>
      </w:r>
    </w:p>
    <w:p w14:paraId="3A3669F7" w14:textId="2EDFD5B5" w:rsidR="00331315" w:rsidRDefault="00C27A24">
      <w:pPr>
        <w:jc w:val="both"/>
      </w:pPr>
      <w:r>
        <w:t>12. Настоящее Приложение является неотъемлемой частью Договора № ……… от «..» ……. 202</w:t>
      </w:r>
      <w:r w:rsidR="00F34E6A">
        <w:t>4</w:t>
      </w:r>
      <w:r>
        <w:t xml:space="preserve"> г., и вступает в силу с даты его подписания.</w:t>
      </w:r>
      <w:bookmarkEnd w:id="0"/>
    </w:p>
    <w:p w14:paraId="548BFBAD" w14:textId="77777777" w:rsidR="00331315" w:rsidRDefault="00331315">
      <w:pPr>
        <w:jc w:val="both"/>
      </w:pPr>
    </w:p>
    <w:p w14:paraId="1942F89D" w14:textId="77777777" w:rsidR="00331315" w:rsidRDefault="00331315">
      <w:pPr>
        <w:jc w:val="both"/>
      </w:pPr>
    </w:p>
    <w:p w14:paraId="39484D91" w14:textId="77777777" w:rsidR="00331315" w:rsidRDefault="00C27A24">
      <w:pPr>
        <w:jc w:val="both"/>
      </w:pPr>
      <w:r>
        <w:rPr>
          <w:lang w:val="en-US"/>
        </w:rPr>
        <w:t>EMAIL</w:t>
      </w:r>
      <w:r>
        <w:t xml:space="preserve"> для рассылки нотисов: </w:t>
      </w:r>
      <w:r>
        <w:rPr>
          <w:b/>
          <w:bCs/>
        </w:rPr>
        <w:t>по данным, которые указаны в реквизитах Договора.</w:t>
      </w:r>
    </w:p>
    <w:p w14:paraId="25D485CD" w14:textId="77777777" w:rsidR="00331315" w:rsidRDefault="00331315">
      <w:pPr>
        <w:jc w:val="both"/>
      </w:pPr>
    </w:p>
    <w:p w14:paraId="651DBFF2" w14:textId="77777777" w:rsidR="00331315" w:rsidRDefault="00331315">
      <w:pPr>
        <w:jc w:val="both"/>
      </w:pPr>
    </w:p>
    <w:p w14:paraId="415982C7" w14:textId="77777777" w:rsidR="00331315" w:rsidRDefault="00331315">
      <w:pPr>
        <w:jc w:val="both"/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31315" w14:paraId="0DA2FCD9" w14:textId="77777777">
        <w:tc>
          <w:tcPr>
            <w:tcW w:w="4672" w:type="dxa"/>
          </w:tcPr>
          <w:p w14:paraId="21FADA4C" w14:textId="77777777" w:rsidR="00331315" w:rsidRDefault="00C27A24">
            <w:r>
              <w:rPr>
                <w:b/>
              </w:rPr>
              <w:t xml:space="preserve">ЭКСПЕДИТОР:     </w:t>
            </w:r>
          </w:p>
        </w:tc>
        <w:tc>
          <w:tcPr>
            <w:tcW w:w="4672" w:type="dxa"/>
          </w:tcPr>
          <w:p w14:paraId="2F954C75" w14:textId="77777777" w:rsidR="00331315" w:rsidRDefault="00C27A24">
            <w:r>
              <w:rPr>
                <w:b/>
              </w:rPr>
              <w:t>КЛИЕНТ:</w:t>
            </w:r>
          </w:p>
        </w:tc>
      </w:tr>
      <w:tr w:rsidR="00331315" w14:paraId="71A2AF43" w14:textId="77777777">
        <w:tc>
          <w:tcPr>
            <w:tcW w:w="4672" w:type="dxa"/>
          </w:tcPr>
          <w:p w14:paraId="40CACA3A" w14:textId="77777777" w:rsidR="00331315" w:rsidRDefault="00331315"/>
        </w:tc>
        <w:tc>
          <w:tcPr>
            <w:tcW w:w="4672" w:type="dxa"/>
          </w:tcPr>
          <w:p w14:paraId="3EBCF228" w14:textId="77777777" w:rsidR="00331315" w:rsidRDefault="00331315"/>
        </w:tc>
      </w:tr>
      <w:tr w:rsidR="00331315" w14:paraId="15813BA0" w14:textId="77777777">
        <w:tc>
          <w:tcPr>
            <w:tcW w:w="4672" w:type="dxa"/>
          </w:tcPr>
          <w:p w14:paraId="092A892A" w14:textId="09F1FF8B" w:rsidR="00331315" w:rsidRDefault="00C27A24">
            <w:r>
              <w:t xml:space="preserve">__________________________ </w:t>
            </w:r>
            <w:r w:rsidRPr="00C27A24">
              <w:t>Берсенев А.И./</w:t>
            </w:r>
            <w:r>
              <w:rPr>
                <w:b/>
              </w:rPr>
              <w:t xml:space="preserve">  </w:t>
            </w:r>
          </w:p>
        </w:tc>
        <w:tc>
          <w:tcPr>
            <w:tcW w:w="4672" w:type="dxa"/>
          </w:tcPr>
          <w:p w14:paraId="3FDCD26B" w14:textId="77777777" w:rsidR="00331315" w:rsidRDefault="00C27A24">
            <w:r>
              <w:rPr>
                <w:b/>
                <w:bCs/>
              </w:rPr>
              <w:t xml:space="preserve">_____________________ </w:t>
            </w:r>
          </w:p>
        </w:tc>
      </w:tr>
    </w:tbl>
    <w:p w14:paraId="19D91A0E" w14:textId="77777777" w:rsidR="00331315" w:rsidRDefault="00331315">
      <w:pPr>
        <w:pStyle w:val="Standard"/>
      </w:pPr>
    </w:p>
    <w:p w14:paraId="38C95604" w14:textId="77777777" w:rsidR="00331315" w:rsidRDefault="00331315">
      <w:pPr>
        <w:ind w:left="67"/>
        <w:jc w:val="center"/>
      </w:pPr>
    </w:p>
    <w:sectPr w:rsidR="00331315">
      <w:headerReference w:type="default" r:id="rId10"/>
      <w:footerReference w:type="default" r:id="rId11"/>
      <w:pgSz w:w="12240" w:h="15840"/>
      <w:pgMar w:top="720" w:right="720" w:bottom="720" w:left="720" w:header="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6E08" w14:textId="77777777" w:rsidR="00331315" w:rsidRDefault="00C27A24">
      <w:r>
        <w:separator/>
      </w:r>
    </w:p>
  </w:endnote>
  <w:endnote w:type="continuationSeparator" w:id="0">
    <w:p w14:paraId="3AEB2C26" w14:textId="77777777" w:rsidR="00331315" w:rsidRDefault="00C2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0BAD" w14:textId="77777777" w:rsidR="00331315" w:rsidRDefault="00C27A24">
    <w:pPr>
      <w:pStyle w:val="Standard"/>
      <w:jc w:val="center"/>
      <w:rPr>
        <w:sz w:val="20"/>
        <w:szCs w:val="20"/>
      </w:rPr>
    </w:pPr>
    <w:r>
      <w:rPr>
        <w:sz w:val="20"/>
        <w:szCs w:val="20"/>
      </w:rPr>
      <w:t>Экспедитор  ___________________                                                    Клиент 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A382" w14:textId="77777777" w:rsidR="00331315" w:rsidRDefault="00C27A24">
      <w:r>
        <w:separator/>
      </w:r>
    </w:p>
  </w:footnote>
  <w:footnote w:type="continuationSeparator" w:id="0">
    <w:p w14:paraId="03FA03E2" w14:textId="77777777" w:rsidR="00331315" w:rsidRDefault="00C27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41A9" w14:textId="77777777" w:rsidR="00331315" w:rsidRDefault="00F34E6A">
    <w:pPr>
      <w:pStyle w:val="af2"/>
      <w:tabs>
        <w:tab w:val="clear" w:pos="4677"/>
        <w:tab w:val="clear" w:pos="9355"/>
        <w:tab w:val="left" w:pos="770"/>
      </w:tabs>
    </w:pPr>
    <w:sdt>
      <w:sdtPr>
        <w:id w:val="-1402755524"/>
        <w:docPartObj>
          <w:docPartGallery w:val="Page Numbers (Margins)"/>
          <w:docPartUnique/>
        </w:docPartObj>
      </w:sdtPr>
      <w:sdtEndPr/>
      <w:sdtContent>
        <w:r w:rsidR="00C27A24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AEF06A5" wp14:editId="1EDEC4A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" name="Прямоугольни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-180715037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0D172C37" w14:textId="77777777" w:rsidR="00331315" w:rsidRDefault="00C27A2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</w:rPr>
                                    <w:instrText>PAGE  \* MERGEFORMAT</w:instrText>
                                  </w:r>
                                  <w:r>
                                    <w:rPr>
                                      <w:rFonts w:asciiTheme="minorHAnsi" w:eastAsiaTheme="minorEastAsia" w:hAnsiTheme="minorHAnsi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>
                <v:shape id="shape 0" o:spid="_x0000_s0" o:spt="1" style="position:absolute;mso-wrap-distance-left:9.0pt;mso-wrap-distance-top:0.0pt;mso-wrap-distance-right:9.0pt;mso-wrap-distance-bottom:0.0pt;z-index:251659264;o:allowoverlap:true;o:allowincell:false;mso-position-horizontal-relative:right-margin-area;mso-position-horizontal:center;mso-position-vertical-relative:page;mso-position-vertical:center;width:60.0pt;height:70.5pt;v-text-anchor:top;" coordsize="100000,100000" path="" fillcolor="#FFFFFF" stroked="f">
                  <v:path textboxrect="0,0,0,0"/>
                  <v:textbox>
                    <w:txbxContent>
                      <w:sdt>
                        <w:sdtPr>
                          <w15:appearance w15:val="boundingBox"/>
                          <w:id w:val="-1807150379"/>
                          <w:docPartObj>
                            <w:docPartGallery w:val="Page Numbers (Margins)"/>
                            <w:docPartUnique w:val="true"/>
                          </w:docPartObj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</w:sdtPr>
                        <w:sdtContent>
                          <w:p>
                            <w:pPr>
                              <w:jc w:val="center"/>
                              <w:rPr>
                                <w:rFonts w:asciiTheme="majorHAnsi" w:hAnsiTheme="majorHAnsi" w:eastAsiaTheme="majorEastAsia" w:cstheme="majorBid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eastAsiaTheme="minorEastAsi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 w:eastAsiaTheme="minorEastAsia"/>
                              </w:rPr>
                              <w:instrText xml:space="preserve">PAGE  \* MERGEFORMAT</w:instrText>
                            </w:r>
                            <w:r>
                              <w:rPr>
                                <w:rFonts w:asciiTheme="minorHAnsi" w:hAnsiTheme="minorHAnsi" w:eastAsiaTheme="minorEastAsi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t xml:space="preserve">4</w:t>
                            </w:r>
                            <w: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fldChar w:fldCharType="end"/>
                            </w:r>
                            <w:r/>
                          </w:p>
                        </w:sdtContent>
                      </w:sdt>
                    </w:txbxContent>
                  </v:textbox>
                </v:shape>
              </w:pict>
            </mc:Fallback>
          </mc:AlternateContent>
        </w:r>
      </w:sdtContent>
    </w:sdt>
    <w:r w:rsidR="00C27A24">
      <w:tab/>
    </w:r>
  </w:p>
  <w:p w14:paraId="1F1EE0B7" w14:textId="77777777" w:rsidR="00331315" w:rsidRDefault="00C27A24">
    <w:pPr>
      <w:pStyle w:val="af2"/>
      <w:jc w:val="center"/>
    </w:pPr>
    <w:r>
      <w:rPr>
        <w:b/>
        <w:noProof/>
        <w:color w:val="0000FF"/>
        <w:sz w:val="36"/>
        <w:szCs w:val="36"/>
      </w:rPr>
      <mc:AlternateContent>
        <mc:Choice Requires="wpg">
          <w:drawing>
            <wp:inline distT="0" distB="0" distL="0" distR="0" wp14:anchorId="632A2269" wp14:editId="627712C0">
              <wp:extent cx="3213100" cy="598857"/>
              <wp:effectExtent l="0" t="0" r="6350" b="0"/>
              <wp:docPr id="2" name="Рисунок 1" descr="C:\work\CMA CGM LOG RATES\CUSTOMERS\NECO LINE\logo neco grou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" descr="C:\work\CMA CGM LOG RATES\CUSTOMERS\NECO LINE\logo neco group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341017" cy="62269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253.0pt;height:47.2pt;" stroked="f">
              <v:path textboxrect="0,0,0,0"/>
              <v:imagedata r:id="rId2" o:title=""/>
            </v:shape>
          </w:pict>
        </mc:Fallback>
      </mc:AlternateContent>
    </w:r>
  </w:p>
  <w:p w14:paraId="7E9F8AAB" w14:textId="77777777" w:rsidR="00331315" w:rsidRDefault="00331315">
    <w:pPr>
      <w:pStyle w:val="af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03BFF"/>
    <w:multiLevelType w:val="hybridMultilevel"/>
    <w:tmpl w:val="A9C46212"/>
    <w:lvl w:ilvl="0" w:tplc="B32E7F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3E6F1E">
      <w:start w:val="1"/>
      <w:numFmt w:val="lowerLetter"/>
      <w:lvlText w:val="%2."/>
      <w:lvlJc w:val="left"/>
      <w:pPr>
        <w:ind w:left="1440" w:hanging="360"/>
      </w:pPr>
    </w:lvl>
    <w:lvl w:ilvl="2" w:tplc="3BC0B938">
      <w:start w:val="1"/>
      <w:numFmt w:val="lowerRoman"/>
      <w:lvlText w:val="%3."/>
      <w:lvlJc w:val="right"/>
      <w:pPr>
        <w:ind w:left="2160" w:hanging="180"/>
      </w:pPr>
    </w:lvl>
    <w:lvl w:ilvl="3" w:tplc="1130AB8A">
      <w:start w:val="1"/>
      <w:numFmt w:val="decimal"/>
      <w:lvlText w:val="%4."/>
      <w:lvlJc w:val="left"/>
      <w:pPr>
        <w:ind w:left="2880" w:hanging="360"/>
      </w:pPr>
    </w:lvl>
    <w:lvl w:ilvl="4" w:tplc="7D941254">
      <w:start w:val="1"/>
      <w:numFmt w:val="lowerLetter"/>
      <w:lvlText w:val="%5."/>
      <w:lvlJc w:val="left"/>
      <w:pPr>
        <w:ind w:left="3600" w:hanging="360"/>
      </w:pPr>
    </w:lvl>
    <w:lvl w:ilvl="5" w:tplc="7A2EC23A">
      <w:start w:val="1"/>
      <w:numFmt w:val="lowerRoman"/>
      <w:lvlText w:val="%6."/>
      <w:lvlJc w:val="right"/>
      <w:pPr>
        <w:ind w:left="4320" w:hanging="180"/>
      </w:pPr>
    </w:lvl>
    <w:lvl w:ilvl="6" w:tplc="BE0C5C36">
      <w:start w:val="1"/>
      <w:numFmt w:val="decimal"/>
      <w:lvlText w:val="%7."/>
      <w:lvlJc w:val="left"/>
      <w:pPr>
        <w:ind w:left="5040" w:hanging="360"/>
      </w:pPr>
    </w:lvl>
    <w:lvl w:ilvl="7" w:tplc="0DD634B0">
      <w:start w:val="1"/>
      <w:numFmt w:val="lowerLetter"/>
      <w:lvlText w:val="%8."/>
      <w:lvlJc w:val="left"/>
      <w:pPr>
        <w:ind w:left="5760" w:hanging="360"/>
      </w:pPr>
    </w:lvl>
    <w:lvl w:ilvl="8" w:tplc="991A2A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7510E"/>
    <w:multiLevelType w:val="hybridMultilevel"/>
    <w:tmpl w:val="B0D43E06"/>
    <w:lvl w:ilvl="0" w:tplc="F3D4B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7AE2788">
      <w:start w:val="1"/>
      <w:numFmt w:val="lowerLetter"/>
      <w:lvlText w:val="%2."/>
      <w:lvlJc w:val="left"/>
      <w:pPr>
        <w:ind w:left="1440" w:hanging="360"/>
      </w:pPr>
    </w:lvl>
    <w:lvl w:ilvl="2" w:tplc="E5F6BB5A">
      <w:start w:val="1"/>
      <w:numFmt w:val="lowerRoman"/>
      <w:lvlText w:val="%3."/>
      <w:lvlJc w:val="right"/>
      <w:pPr>
        <w:ind w:left="2160" w:hanging="180"/>
      </w:pPr>
    </w:lvl>
    <w:lvl w:ilvl="3" w:tplc="0B0886B8">
      <w:start w:val="1"/>
      <w:numFmt w:val="decimal"/>
      <w:lvlText w:val="%4."/>
      <w:lvlJc w:val="left"/>
      <w:pPr>
        <w:ind w:left="2880" w:hanging="360"/>
      </w:pPr>
    </w:lvl>
    <w:lvl w:ilvl="4" w:tplc="D7FC948C">
      <w:start w:val="1"/>
      <w:numFmt w:val="lowerLetter"/>
      <w:lvlText w:val="%5."/>
      <w:lvlJc w:val="left"/>
      <w:pPr>
        <w:ind w:left="3600" w:hanging="360"/>
      </w:pPr>
    </w:lvl>
    <w:lvl w:ilvl="5" w:tplc="6032D21C">
      <w:start w:val="1"/>
      <w:numFmt w:val="lowerRoman"/>
      <w:lvlText w:val="%6."/>
      <w:lvlJc w:val="right"/>
      <w:pPr>
        <w:ind w:left="4320" w:hanging="180"/>
      </w:pPr>
    </w:lvl>
    <w:lvl w:ilvl="6" w:tplc="0F184EEE">
      <w:start w:val="1"/>
      <w:numFmt w:val="decimal"/>
      <w:lvlText w:val="%7."/>
      <w:lvlJc w:val="left"/>
      <w:pPr>
        <w:ind w:left="5040" w:hanging="360"/>
      </w:pPr>
    </w:lvl>
    <w:lvl w:ilvl="7" w:tplc="5E44CFE4">
      <w:start w:val="1"/>
      <w:numFmt w:val="lowerLetter"/>
      <w:lvlText w:val="%8."/>
      <w:lvlJc w:val="left"/>
      <w:pPr>
        <w:ind w:left="5760" w:hanging="360"/>
      </w:pPr>
    </w:lvl>
    <w:lvl w:ilvl="8" w:tplc="E7F682D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85330"/>
    <w:multiLevelType w:val="hybridMultilevel"/>
    <w:tmpl w:val="4CF830FE"/>
    <w:lvl w:ilvl="0" w:tplc="CDDE4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942F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260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6C7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E2C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C87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0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ED3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66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82B6D"/>
    <w:multiLevelType w:val="hybridMultilevel"/>
    <w:tmpl w:val="69929E2E"/>
    <w:lvl w:ilvl="0" w:tplc="F37C9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0AE164">
      <w:start w:val="1"/>
      <w:numFmt w:val="lowerLetter"/>
      <w:lvlText w:val="%2."/>
      <w:lvlJc w:val="left"/>
      <w:pPr>
        <w:ind w:left="1440" w:hanging="360"/>
      </w:pPr>
    </w:lvl>
    <w:lvl w:ilvl="2" w:tplc="6680D7D8">
      <w:start w:val="1"/>
      <w:numFmt w:val="lowerRoman"/>
      <w:lvlText w:val="%3."/>
      <w:lvlJc w:val="right"/>
      <w:pPr>
        <w:ind w:left="2160" w:hanging="180"/>
      </w:pPr>
    </w:lvl>
    <w:lvl w:ilvl="3" w:tplc="1E1EBDBA">
      <w:start w:val="1"/>
      <w:numFmt w:val="decimal"/>
      <w:lvlText w:val="%4."/>
      <w:lvlJc w:val="left"/>
      <w:pPr>
        <w:ind w:left="2880" w:hanging="360"/>
      </w:pPr>
    </w:lvl>
    <w:lvl w:ilvl="4" w:tplc="14DCA1F4">
      <w:start w:val="1"/>
      <w:numFmt w:val="lowerLetter"/>
      <w:lvlText w:val="%5."/>
      <w:lvlJc w:val="left"/>
      <w:pPr>
        <w:ind w:left="3600" w:hanging="360"/>
      </w:pPr>
    </w:lvl>
    <w:lvl w:ilvl="5" w:tplc="8EDE45CE">
      <w:start w:val="1"/>
      <w:numFmt w:val="lowerRoman"/>
      <w:lvlText w:val="%6."/>
      <w:lvlJc w:val="right"/>
      <w:pPr>
        <w:ind w:left="4320" w:hanging="180"/>
      </w:pPr>
    </w:lvl>
    <w:lvl w:ilvl="6" w:tplc="55C2672C">
      <w:start w:val="1"/>
      <w:numFmt w:val="decimal"/>
      <w:lvlText w:val="%7."/>
      <w:lvlJc w:val="left"/>
      <w:pPr>
        <w:ind w:left="5040" w:hanging="360"/>
      </w:pPr>
    </w:lvl>
    <w:lvl w:ilvl="7" w:tplc="621EAA7E">
      <w:start w:val="1"/>
      <w:numFmt w:val="lowerLetter"/>
      <w:lvlText w:val="%8."/>
      <w:lvlJc w:val="left"/>
      <w:pPr>
        <w:ind w:left="5760" w:hanging="360"/>
      </w:pPr>
    </w:lvl>
    <w:lvl w:ilvl="8" w:tplc="4D1EF23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932E8"/>
    <w:multiLevelType w:val="hybridMultilevel"/>
    <w:tmpl w:val="629C6B80"/>
    <w:lvl w:ilvl="0" w:tplc="77E4FC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66FB52">
      <w:start w:val="1"/>
      <w:numFmt w:val="lowerLetter"/>
      <w:lvlText w:val="%2."/>
      <w:lvlJc w:val="left"/>
      <w:pPr>
        <w:ind w:left="1440" w:hanging="360"/>
      </w:pPr>
    </w:lvl>
    <w:lvl w:ilvl="2" w:tplc="148245D4">
      <w:start w:val="1"/>
      <w:numFmt w:val="lowerRoman"/>
      <w:lvlText w:val="%3."/>
      <w:lvlJc w:val="right"/>
      <w:pPr>
        <w:ind w:left="2160" w:hanging="180"/>
      </w:pPr>
    </w:lvl>
    <w:lvl w:ilvl="3" w:tplc="51A8EE42">
      <w:start w:val="1"/>
      <w:numFmt w:val="decimal"/>
      <w:lvlText w:val="%4."/>
      <w:lvlJc w:val="left"/>
      <w:pPr>
        <w:ind w:left="2880" w:hanging="360"/>
      </w:pPr>
    </w:lvl>
    <w:lvl w:ilvl="4" w:tplc="014C13B6">
      <w:start w:val="1"/>
      <w:numFmt w:val="lowerLetter"/>
      <w:lvlText w:val="%5."/>
      <w:lvlJc w:val="left"/>
      <w:pPr>
        <w:ind w:left="3600" w:hanging="360"/>
      </w:pPr>
    </w:lvl>
    <w:lvl w:ilvl="5" w:tplc="736EBA8A">
      <w:start w:val="1"/>
      <w:numFmt w:val="lowerRoman"/>
      <w:lvlText w:val="%6."/>
      <w:lvlJc w:val="right"/>
      <w:pPr>
        <w:ind w:left="4320" w:hanging="180"/>
      </w:pPr>
    </w:lvl>
    <w:lvl w:ilvl="6" w:tplc="B8F05A4E">
      <w:start w:val="1"/>
      <w:numFmt w:val="decimal"/>
      <w:lvlText w:val="%7."/>
      <w:lvlJc w:val="left"/>
      <w:pPr>
        <w:ind w:left="5040" w:hanging="360"/>
      </w:pPr>
    </w:lvl>
    <w:lvl w:ilvl="7" w:tplc="C0E467A4">
      <w:start w:val="1"/>
      <w:numFmt w:val="lowerLetter"/>
      <w:lvlText w:val="%8."/>
      <w:lvlJc w:val="left"/>
      <w:pPr>
        <w:ind w:left="5760" w:hanging="360"/>
      </w:pPr>
    </w:lvl>
    <w:lvl w:ilvl="8" w:tplc="7D0CCB72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7259">
    <w:abstractNumId w:val="1"/>
  </w:num>
  <w:num w:numId="2" w16cid:durableId="397828871">
    <w:abstractNumId w:val="2"/>
  </w:num>
  <w:num w:numId="3" w16cid:durableId="1501308235">
    <w:abstractNumId w:val="3"/>
  </w:num>
  <w:num w:numId="4" w16cid:durableId="943734771">
    <w:abstractNumId w:val="4"/>
  </w:num>
  <w:num w:numId="5" w16cid:durableId="7382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315"/>
    <w:rsid w:val="00331315"/>
    <w:rsid w:val="00C27A24"/>
    <w:rsid w:val="00F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75E4"/>
  <w15:docId w15:val="{7B369443-87F6-4E30-B44A-5DE38A65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Standard"/>
    <w:link w:val="af3"/>
    <w:pPr>
      <w:suppressLineNumbers/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Standard"/>
    <w:link w:val="af5"/>
    <w:uiPriority w:val="99"/>
    <w:pPr>
      <w:suppressLineNumbers/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3">
    <w:name w:val="Обычный (веб)1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8">
    <w:name w:val="No Spacing"/>
    <w:link w:val="af9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Pr>
      <w:rFonts w:eastAsiaTheme="minorEastAsia"/>
      <w:lang w:eastAsia="ru-RU"/>
    </w:rPr>
  </w:style>
  <w:style w:type="paragraph" w:styleId="afa">
    <w:name w:val="List Paragraph"/>
    <w:basedOn w:val="a"/>
    <w:uiPriority w:val="34"/>
    <w:qFormat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</w:style>
  <w:style w:type="character" w:customStyle="1" w:styleId="afd">
    <w:name w:val="Текст примечания Знак"/>
    <w:basedOn w:val="a0"/>
    <w:link w:val="afc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FACAF6A7-2B8D-4D91-B4EC-BBA59F3C29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1958</Words>
  <Characters>11161</Characters>
  <Application>Microsoft Office Word</Application>
  <DocSecurity>0</DocSecurity>
  <Lines>93</Lines>
  <Paragraphs>26</Paragraphs>
  <ScaleCrop>false</ScaleCrop>
  <Company/>
  <LinksUpToDate>false</LinksUpToDate>
  <CharactersWithSpaces>13093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НЭКО Анна</dc:creator>
  <cp:keywords/>
  <dc:description/>
  <cp:lastModifiedBy>Анастасия Ваганова</cp:lastModifiedBy>
  <cp:revision>22</cp:revision>
  <dcterms:created xsi:type="dcterms:W3CDTF">2022-06-28T14:11:00Z</dcterms:created>
  <dcterms:modified xsi:type="dcterms:W3CDTF">2024-01-16T07:43:00Z</dcterms:modified>
</cp:coreProperties>
</file>