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BD7" w14:textId="77777777" w:rsidR="00D40149" w:rsidRDefault="00F74405">
      <w:pPr>
        <w:pStyle w:val="2"/>
        <w:rPr>
          <w:b w:val="0"/>
        </w:rPr>
      </w:pPr>
      <w:r>
        <w:rPr>
          <w:b w:val="0"/>
        </w:rPr>
        <w:t xml:space="preserve">ПРИЛОЖЕНИЕ №4.3 </w:t>
      </w:r>
    </w:p>
    <w:p w14:paraId="1B65F779" w14:textId="6BFF905A" w:rsidR="00D40149" w:rsidRDefault="00F74405">
      <w:pPr>
        <w:pStyle w:val="2"/>
        <w:shd w:val="clear" w:color="auto" w:fill="FFFFFF"/>
        <w:spacing w:before="0" w:line="420" w:lineRule="atLeast"/>
        <w:rPr>
          <w:b w:val="0"/>
        </w:rPr>
      </w:pPr>
      <w:r>
        <w:rPr>
          <w:b w:val="0"/>
        </w:rPr>
        <w:t>К ДОГОВОРУ № …..… ОТ «..» ………..20</w:t>
      </w:r>
      <w:r w:rsidR="00287F46">
        <w:rPr>
          <w:b w:val="0"/>
        </w:rPr>
        <w:t>24</w:t>
      </w:r>
      <w:r>
        <w:rPr>
          <w:b w:val="0"/>
        </w:rPr>
        <w:t xml:space="preserve"> Г. НА ТРАНСПОРТНО-ЭКСПЕДИЦИОННОЕ ОБСЛУЖИВАНИЕ (ТАРИФЫ НА ЭКСПЕДИРОВАНИЕ ГРУЗОВ ЧЕРЕЗ ТЕРМИНАЛ ООО «</w:t>
      </w:r>
      <w:r>
        <w:rPr>
          <w:rFonts w:cstheme="majorHAnsi"/>
          <w:b w:val="0"/>
          <w:sz w:val="28"/>
          <w:szCs w:val="28"/>
        </w:rPr>
        <w:t>Сухой порт Находка</w:t>
      </w:r>
      <w:r>
        <w:rPr>
          <w:b w:val="0"/>
        </w:rPr>
        <w:t>»</w:t>
      </w:r>
      <w:r>
        <w:t xml:space="preserve"> </w:t>
      </w:r>
      <w:r>
        <w:rPr>
          <w:b w:val="0"/>
        </w:rPr>
        <w:t>ПО ПЕРЕВАЛКЕ ЭКСПОРТНЫХ КОНТЕЙНЕРОВ).</w:t>
      </w:r>
    </w:p>
    <w:p w14:paraId="31D3918F" w14:textId="77777777" w:rsidR="00D40149" w:rsidRDefault="00D40149">
      <w:pPr>
        <w:rPr>
          <w:lang w:eastAsia="en-US"/>
        </w:rPr>
      </w:pPr>
    </w:p>
    <w:p w14:paraId="1C83E20F" w14:textId="4A34507A" w:rsidR="00D40149" w:rsidRDefault="00F74405">
      <w:pPr>
        <w:rPr>
          <w:lang w:eastAsia="en-US"/>
        </w:rPr>
      </w:pPr>
      <w:r>
        <w:rPr>
          <w:lang w:eastAsia="en-US"/>
        </w:rPr>
        <w:t>Санкт-Петербург                                                                                                                                           «__» _____________202</w:t>
      </w:r>
      <w:r w:rsidR="00287F46">
        <w:rPr>
          <w:lang w:eastAsia="en-US"/>
        </w:rPr>
        <w:t>4</w:t>
      </w:r>
      <w:r>
        <w:rPr>
          <w:lang w:eastAsia="en-US"/>
        </w:rPr>
        <w:t xml:space="preserve"> г.</w:t>
      </w:r>
    </w:p>
    <w:p w14:paraId="0A841B64" w14:textId="77777777" w:rsidR="00D40149" w:rsidRDefault="00D40149">
      <w:pPr>
        <w:rPr>
          <w:lang w:eastAsia="en-US"/>
        </w:rPr>
      </w:pPr>
    </w:p>
    <w:p w14:paraId="091B78D0" w14:textId="77777777" w:rsidR="00D40149" w:rsidRDefault="00D40149">
      <w:pPr>
        <w:rPr>
          <w:lang w:eastAsia="en-US"/>
        </w:rPr>
      </w:pPr>
    </w:p>
    <w:p w14:paraId="7DF680DA" w14:textId="77777777" w:rsidR="00D40149" w:rsidRDefault="00F74405">
      <w:pPr>
        <w:pStyle w:val="af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Транспортно-экспедиционные услуги:</w:t>
      </w:r>
    </w:p>
    <w:p w14:paraId="74BA1B5C" w14:textId="77777777" w:rsidR="00D40149" w:rsidRDefault="00D40149">
      <w:pPr>
        <w:tabs>
          <w:tab w:val="left" w:pos="284"/>
        </w:tabs>
        <w:jc w:val="both"/>
        <w:rPr>
          <w:b/>
          <w:bCs/>
          <w:u w:val="single"/>
        </w:rPr>
      </w:pPr>
    </w:p>
    <w:p w14:paraId="22B8957B" w14:textId="77777777" w:rsidR="00D40149" w:rsidRDefault="00F74405">
      <w:pPr>
        <w:rPr>
          <w:b/>
          <w:bCs/>
        </w:rPr>
      </w:pPr>
      <w:r>
        <w:rPr>
          <w:b/>
          <w:bCs/>
        </w:rPr>
        <w:t>Груженые контейнеры:</w:t>
      </w:r>
    </w:p>
    <w:p w14:paraId="1E4B494E" w14:textId="77777777" w:rsidR="00D40149" w:rsidRDefault="00D40149">
      <w:pPr>
        <w:rPr>
          <w:b/>
          <w:bCs/>
        </w:rPr>
      </w:pPr>
    </w:p>
    <w:tbl>
      <w:tblPr>
        <w:tblStyle w:val="af6"/>
        <w:tblW w:w="11009" w:type="dxa"/>
        <w:tblLayout w:type="fixed"/>
        <w:tblLook w:val="04A0" w:firstRow="1" w:lastRow="0" w:firstColumn="1" w:lastColumn="0" w:noHBand="0" w:noVBand="1"/>
      </w:tblPr>
      <w:tblGrid>
        <w:gridCol w:w="660"/>
        <w:gridCol w:w="5829"/>
        <w:gridCol w:w="831"/>
        <w:gridCol w:w="1833"/>
        <w:gridCol w:w="1499"/>
        <w:gridCol w:w="357"/>
      </w:tblGrid>
      <w:tr w:rsidR="00D40149" w14:paraId="1A101481" w14:textId="77777777">
        <w:trPr>
          <w:gridAfter w:val="1"/>
          <w:wAfter w:w="357" w:type="dxa"/>
          <w:trHeight w:val="423"/>
        </w:trPr>
        <w:tc>
          <w:tcPr>
            <w:tcW w:w="660" w:type="dxa"/>
            <w:vMerge w:val="restart"/>
          </w:tcPr>
          <w:p w14:paraId="494802F6" w14:textId="77777777" w:rsidR="00D40149" w:rsidRDefault="00D40149">
            <w:pPr>
              <w:jc w:val="center"/>
            </w:pPr>
          </w:p>
          <w:p w14:paraId="6AA67819" w14:textId="77777777" w:rsidR="00D40149" w:rsidRDefault="00F74405">
            <w:pPr>
              <w:jc w:val="center"/>
              <w:rPr>
                <w:b/>
              </w:rPr>
            </w:pPr>
            <w:r>
              <w:t>No</w:t>
            </w:r>
          </w:p>
        </w:tc>
        <w:tc>
          <w:tcPr>
            <w:tcW w:w="5830" w:type="dxa"/>
            <w:vMerge w:val="restart"/>
          </w:tcPr>
          <w:p w14:paraId="0F5A4408" w14:textId="77777777" w:rsidR="00D40149" w:rsidRDefault="00D40149">
            <w:pPr>
              <w:jc w:val="center"/>
            </w:pPr>
          </w:p>
          <w:p w14:paraId="14F09E6E" w14:textId="77777777" w:rsidR="00D40149" w:rsidRDefault="00F74405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831" w:type="dxa"/>
            <w:vMerge w:val="restart"/>
          </w:tcPr>
          <w:p w14:paraId="6DFAAC4A" w14:textId="77777777" w:rsidR="00D40149" w:rsidRDefault="00F74405">
            <w:pPr>
              <w:jc w:val="center"/>
              <w:rPr>
                <w:b/>
              </w:rPr>
            </w:pPr>
            <w:r>
              <w:t>Ед. изм.</w:t>
            </w:r>
          </w:p>
        </w:tc>
        <w:tc>
          <w:tcPr>
            <w:tcW w:w="3331" w:type="dxa"/>
            <w:gridSpan w:val="2"/>
          </w:tcPr>
          <w:p w14:paraId="44B073EA" w14:textId="77777777" w:rsidR="00D40149" w:rsidRDefault="00F74405">
            <w:pPr>
              <w:jc w:val="center"/>
            </w:pPr>
            <w:r>
              <w:t xml:space="preserve">Стоимость в руб. </w:t>
            </w:r>
          </w:p>
          <w:p w14:paraId="405BBA8A" w14:textId="77777777" w:rsidR="00D40149" w:rsidRDefault="00F74405">
            <w:pPr>
              <w:jc w:val="center"/>
              <w:rPr>
                <w:b/>
              </w:rPr>
            </w:pPr>
            <w:r>
              <w:t>за единицу измерения (тариф)</w:t>
            </w:r>
          </w:p>
        </w:tc>
      </w:tr>
      <w:tr w:rsidR="00D40149" w14:paraId="2AC98227" w14:textId="77777777">
        <w:trPr>
          <w:trHeight w:val="432"/>
        </w:trPr>
        <w:tc>
          <w:tcPr>
            <w:tcW w:w="660" w:type="dxa"/>
            <w:vMerge/>
          </w:tcPr>
          <w:p w14:paraId="75EF6091" w14:textId="77777777" w:rsidR="00D40149" w:rsidRDefault="00D40149">
            <w:pPr>
              <w:jc w:val="center"/>
              <w:rPr>
                <w:b/>
              </w:rPr>
            </w:pPr>
          </w:p>
        </w:tc>
        <w:tc>
          <w:tcPr>
            <w:tcW w:w="5830" w:type="dxa"/>
            <w:vMerge/>
          </w:tcPr>
          <w:p w14:paraId="7B58945B" w14:textId="77777777" w:rsidR="00D40149" w:rsidRDefault="00D40149">
            <w:pPr>
              <w:jc w:val="center"/>
              <w:rPr>
                <w:b/>
              </w:rPr>
            </w:pPr>
          </w:p>
        </w:tc>
        <w:tc>
          <w:tcPr>
            <w:tcW w:w="831" w:type="dxa"/>
            <w:vMerge/>
          </w:tcPr>
          <w:p w14:paraId="104066AA" w14:textId="77777777" w:rsidR="00D40149" w:rsidRDefault="00D40149">
            <w:pPr>
              <w:jc w:val="center"/>
              <w:rPr>
                <w:b/>
              </w:rPr>
            </w:pPr>
          </w:p>
        </w:tc>
        <w:tc>
          <w:tcPr>
            <w:tcW w:w="1833" w:type="dxa"/>
            <w:tcBorders>
              <w:right w:val="single" w:sz="4" w:space="0" w:color="auto"/>
            </w:tcBorders>
          </w:tcPr>
          <w:p w14:paraId="11AF4820" w14:textId="77777777" w:rsidR="00D40149" w:rsidRDefault="00F74405">
            <w:pPr>
              <w:jc w:val="center"/>
              <w:rPr>
                <w:b/>
                <w:lang w:val="en-US"/>
              </w:rPr>
            </w:pPr>
            <w:r>
              <w:t>20-фут.ктк (</w:t>
            </w:r>
            <w:r>
              <w:rPr>
                <w:lang w:val="en-US"/>
              </w:rPr>
              <w:t>TEU)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A83A" w14:textId="77777777" w:rsidR="00D40149" w:rsidRDefault="00F74405">
            <w:pPr>
              <w:jc w:val="center"/>
            </w:pPr>
            <w:r>
              <w:t>40-фут.ктк</w:t>
            </w:r>
          </w:p>
          <w:p w14:paraId="0C38802E" w14:textId="77777777" w:rsidR="00D40149" w:rsidRDefault="00F74405">
            <w:pPr>
              <w:jc w:val="center"/>
              <w:rPr>
                <w:b/>
              </w:rPr>
            </w:pPr>
            <w:r>
              <w:t>(</w:t>
            </w:r>
            <w:r>
              <w:rPr>
                <w:lang w:val="en-US"/>
              </w:rPr>
              <w:t>2TEU)</w:t>
            </w:r>
          </w:p>
        </w:tc>
        <w:tc>
          <w:tcPr>
            <w:tcW w:w="35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</w:tcPr>
          <w:p w14:paraId="6E9A26A5" w14:textId="77777777" w:rsidR="00D40149" w:rsidRDefault="00D40149">
            <w:pPr>
              <w:rPr>
                <w:bCs/>
                <w:highlight w:val="yellow"/>
              </w:rPr>
            </w:pPr>
          </w:p>
        </w:tc>
      </w:tr>
      <w:tr w:rsidR="00D40149" w14:paraId="0E308B8C" w14:textId="77777777">
        <w:trPr>
          <w:gridAfter w:val="1"/>
          <w:wAfter w:w="357" w:type="dxa"/>
          <w:trHeight w:val="211"/>
        </w:trPr>
        <w:tc>
          <w:tcPr>
            <w:tcW w:w="10653" w:type="dxa"/>
            <w:gridSpan w:val="5"/>
            <w:vAlign w:val="center"/>
          </w:tcPr>
          <w:p w14:paraId="0F92CF8A" w14:textId="77777777" w:rsidR="00D40149" w:rsidRDefault="00F74405">
            <w:pPr>
              <w:rPr>
                <w:b/>
                <w:lang w:val="en-US"/>
              </w:rPr>
            </w:pPr>
            <w:r>
              <w:rPr>
                <w:b/>
                <w:bCs/>
              </w:rPr>
              <w:t xml:space="preserve">Экспортные контейнеры                                                                                                               </w:t>
            </w:r>
          </w:p>
        </w:tc>
      </w:tr>
      <w:tr w:rsidR="00D40149" w14:paraId="515FC682" w14:textId="77777777">
        <w:trPr>
          <w:trHeight w:val="287"/>
        </w:trPr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14:paraId="776625FD" w14:textId="77777777" w:rsidR="00D40149" w:rsidRDefault="00F74405">
            <w:pPr>
              <w:jc w:val="center"/>
            </w:pPr>
            <w:r>
              <w:t>1.</w:t>
            </w:r>
          </w:p>
        </w:tc>
        <w:tc>
          <w:tcPr>
            <w:tcW w:w="5830" w:type="dxa"/>
            <w:tcBorders>
              <w:bottom w:val="single" w:sz="4" w:space="0" w:color="auto"/>
            </w:tcBorders>
            <w:vAlign w:val="center"/>
          </w:tcPr>
          <w:p w14:paraId="24CC5A97" w14:textId="77777777" w:rsidR="00D40149" w:rsidRDefault="00F74405">
            <w:pPr>
              <w:jc w:val="both"/>
            </w:pPr>
            <w:r>
              <w:t>Транспортно-экспедиционные услуги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4EBC1A1D" w14:textId="77777777" w:rsidR="00D40149" w:rsidRDefault="00F74405">
            <w:pPr>
              <w:jc w:val="center"/>
            </w:pPr>
            <w:r>
              <w:t>1 шт.</w:t>
            </w:r>
          </w:p>
        </w:tc>
        <w:tc>
          <w:tcPr>
            <w:tcW w:w="18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9A69" w14:textId="77777777" w:rsidR="00D40149" w:rsidRDefault="00F74405">
            <w:pPr>
              <w:jc w:val="center"/>
              <w:rPr>
                <w:b/>
                <w:color w:val="FF0000"/>
              </w:rPr>
            </w:pPr>
            <w:r>
              <w:t>18 000,00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A79C0" w14:textId="77777777" w:rsidR="00D40149" w:rsidRDefault="00F74405">
            <w:pPr>
              <w:jc w:val="center"/>
              <w:rPr>
                <w:b/>
                <w:color w:val="FF0000"/>
              </w:rPr>
            </w:pPr>
            <w:r>
              <w:t>18 000,00</w:t>
            </w:r>
          </w:p>
        </w:tc>
        <w:tc>
          <w:tcPr>
            <w:tcW w:w="35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5F8D78CA" w14:textId="77777777" w:rsidR="00D40149" w:rsidRDefault="00D40149">
            <w:pPr>
              <w:jc w:val="center"/>
              <w:rPr>
                <w:b/>
              </w:rPr>
            </w:pPr>
          </w:p>
        </w:tc>
      </w:tr>
    </w:tbl>
    <w:p w14:paraId="624F3CFF" w14:textId="77777777" w:rsidR="00D40149" w:rsidRDefault="00D40149">
      <w:pPr>
        <w:jc w:val="both"/>
      </w:pPr>
    </w:p>
    <w:p w14:paraId="14E3DF53" w14:textId="77777777" w:rsidR="00D40149" w:rsidRDefault="00F74405">
      <w:pPr>
        <w:jc w:val="both"/>
      </w:pPr>
      <w:r>
        <w:t>Примечание к п.1:</w:t>
      </w:r>
    </w:p>
    <w:p w14:paraId="04FB4115" w14:textId="77777777" w:rsidR="00D40149" w:rsidRDefault="00F74405">
      <w:pPr>
        <w:rPr>
          <w:color w:val="000000"/>
        </w:rPr>
      </w:pPr>
      <w:r>
        <w:t>В ставку включены: погрузочно-разгрузочные работы с контейнером, подача/уборка вагона, оформление документов, вознаграждение Экспедитора, перевозка автотранспортом по маршруту:</w:t>
      </w:r>
      <w:r>
        <w:br/>
        <w:t>1) Сухой порт Находка - АО «Восточный порт»</w:t>
      </w:r>
      <w:r>
        <w:br/>
        <w:t>2) Сухой порт Находка – ООО «ВСК».</w:t>
      </w:r>
    </w:p>
    <w:p w14:paraId="35FC7282" w14:textId="77777777" w:rsidR="00D40149" w:rsidRDefault="00F74405">
      <w:r>
        <w:t>Ставка на экспедиционные услуги дана без учета НДС. Начисление НДС производится в соответствии с законодательством Российской Федерации. При предоставлении пакета документов согласно ст.164-165 Налогового кодекса Российской Федерации, ставка НДС равна 0%.</w:t>
      </w:r>
    </w:p>
    <w:p w14:paraId="30C1C1B0" w14:textId="77777777" w:rsidR="00D40149" w:rsidRDefault="00D40149">
      <w:pPr>
        <w:rPr>
          <w:b/>
          <w:u w:val="single"/>
        </w:rPr>
      </w:pPr>
    </w:p>
    <w:p w14:paraId="14305C53" w14:textId="77777777" w:rsidR="00D40149" w:rsidRDefault="00F74405">
      <w:pPr>
        <w:pStyle w:val="afa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Срок технологического накопления экспортных (транзитных) контейнеров:</w:t>
      </w:r>
    </w:p>
    <w:p w14:paraId="1E529866" w14:textId="77777777" w:rsidR="00D40149" w:rsidRDefault="00F74405">
      <w:r>
        <w:t xml:space="preserve">- груженый контейнер - </w:t>
      </w:r>
      <w:r>
        <w:rPr>
          <w:b/>
        </w:rPr>
        <w:t>20 суток;</w:t>
      </w:r>
    </w:p>
    <w:p w14:paraId="61AD3607" w14:textId="77777777" w:rsidR="00D40149" w:rsidRDefault="00F74405">
      <w:pPr>
        <w:rPr>
          <w:b/>
        </w:rPr>
      </w:pPr>
      <w:r>
        <w:t xml:space="preserve">- порожний контейнер - </w:t>
      </w:r>
      <w:r>
        <w:rPr>
          <w:b/>
        </w:rPr>
        <w:t>20 суток.</w:t>
      </w:r>
    </w:p>
    <w:p w14:paraId="4CFE947E" w14:textId="77777777" w:rsidR="00D40149" w:rsidRDefault="00F74405">
      <w:pPr>
        <w:rPr>
          <w:i/>
          <w:iCs/>
          <w:color w:val="000000"/>
        </w:rPr>
      </w:pPr>
      <w:r>
        <w:rPr>
          <w:i/>
          <w:iCs/>
        </w:rPr>
        <w:t xml:space="preserve">Срок технологического накопления исчисляется с даты приема контейнера на Сухой порт Находка, согласно приемного акта, до </w:t>
      </w:r>
      <w:r>
        <w:rPr>
          <w:i/>
          <w:iCs/>
          <w:color w:val="000000" w:themeColor="text1"/>
        </w:rPr>
        <w:t xml:space="preserve">даты погрузки контейнера на автотранспорт. </w:t>
      </w:r>
    </w:p>
    <w:p w14:paraId="5D937978" w14:textId="77777777" w:rsidR="00D40149" w:rsidRDefault="00F74405">
      <w:pPr>
        <w:jc w:val="both"/>
        <w:rPr>
          <w:i/>
          <w:iCs/>
          <w:color w:val="000000"/>
        </w:rPr>
      </w:pPr>
      <w:r>
        <w:rPr>
          <w:i/>
          <w:iCs/>
          <w:color w:val="000000" w:themeColor="text1"/>
        </w:rPr>
        <w:t>Определение количества дней технологического накопления и хранение контейнеров:</w:t>
      </w:r>
    </w:p>
    <w:p w14:paraId="7DA7C64F" w14:textId="77777777" w:rsidR="00D40149" w:rsidRDefault="00F74405">
      <w:pPr>
        <w:jc w:val="both"/>
        <w:rPr>
          <w:i/>
          <w:iCs/>
          <w:color w:val="000000"/>
        </w:rPr>
      </w:pPr>
      <w:r>
        <w:rPr>
          <w:i/>
          <w:iCs/>
          <w:color w:val="000000" w:themeColor="text1"/>
        </w:rPr>
        <w:t>Первым днем технологического накопления контейнера является дата выгрузки контейнера с транспортного средства.</w:t>
      </w:r>
    </w:p>
    <w:p w14:paraId="286FBD1C" w14:textId="77777777" w:rsidR="00D40149" w:rsidRDefault="00F74405">
      <w:pPr>
        <w:jc w:val="both"/>
        <w:rPr>
          <w:i/>
          <w:iCs/>
          <w:color w:val="000000"/>
        </w:rPr>
      </w:pPr>
      <w:r>
        <w:rPr>
          <w:i/>
          <w:iCs/>
          <w:color w:val="000000" w:themeColor="text1"/>
        </w:rPr>
        <w:t>Последним днем технологического накопления является дата окончания срока технологического накопления.</w:t>
      </w:r>
    </w:p>
    <w:p w14:paraId="61B6B11D" w14:textId="77777777" w:rsidR="00D40149" w:rsidRDefault="00D40149">
      <w:pPr>
        <w:jc w:val="both"/>
        <w:rPr>
          <w:b/>
          <w:u w:val="single"/>
        </w:rPr>
      </w:pPr>
    </w:p>
    <w:p w14:paraId="38B58C7D" w14:textId="77777777" w:rsidR="00D40149" w:rsidRDefault="00F74405">
      <w:pPr>
        <w:pStyle w:val="afa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Хранение груженых контейнеров:</w:t>
      </w:r>
    </w:p>
    <w:p w14:paraId="27DB60EB" w14:textId="77777777" w:rsidR="00D40149" w:rsidRDefault="00D40149">
      <w:pPr>
        <w:ind w:left="360"/>
        <w:rPr>
          <w:i/>
          <w:iCs/>
        </w:rPr>
      </w:pPr>
    </w:p>
    <w:tbl>
      <w:tblPr>
        <w:tblW w:w="107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6"/>
        <w:gridCol w:w="5827"/>
        <w:gridCol w:w="1017"/>
        <w:gridCol w:w="1779"/>
        <w:gridCol w:w="1356"/>
      </w:tblGrid>
      <w:tr w:rsidR="00D40149" w14:paraId="3F66499B" w14:textId="77777777">
        <w:trPr>
          <w:trHeight w:val="191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1D21E" w14:textId="77777777" w:rsidR="00D40149" w:rsidRDefault="00F74405">
            <w:pPr>
              <w:jc w:val="center"/>
            </w:pPr>
            <w:r>
              <w:t>No.</w:t>
            </w:r>
          </w:p>
        </w:tc>
        <w:tc>
          <w:tcPr>
            <w:tcW w:w="5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68BF5" w14:textId="77777777" w:rsidR="00D40149" w:rsidRDefault="00F74405">
            <w:pPr>
              <w:jc w:val="center"/>
            </w:pPr>
            <w:r>
              <w:t>Наименование услуги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25A6" w14:textId="77777777" w:rsidR="00D40149" w:rsidRDefault="00F74405">
            <w:pPr>
              <w:jc w:val="center"/>
            </w:pPr>
            <w:r>
              <w:t>Ед. изм.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151DA9" w14:textId="77777777" w:rsidR="00D40149" w:rsidRDefault="00F74405">
            <w:pPr>
              <w:jc w:val="center"/>
            </w:pPr>
            <w:r>
              <w:t xml:space="preserve">Стоимость в руб. </w:t>
            </w:r>
          </w:p>
          <w:p w14:paraId="7D1F9363" w14:textId="77777777" w:rsidR="00D40149" w:rsidRDefault="00F74405">
            <w:pPr>
              <w:jc w:val="center"/>
            </w:pPr>
            <w:r>
              <w:t>за единицу измерения (тариф)</w:t>
            </w:r>
          </w:p>
        </w:tc>
      </w:tr>
      <w:tr w:rsidR="00D40149" w14:paraId="27CBD43D" w14:textId="77777777">
        <w:trPr>
          <w:trHeight w:val="64"/>
        </w:trPr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96E6" w14:textId="77777777" w:rsidR="00D40149" w:rsidRDefault="00D40149"/>
        </w:tc>
        <w:tc>
          <w:tcPr>
            <w:tcW w:w="5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DC5C" w14:textId="77777777" w:rsidR="00D40149" w:rsidRDefault="00D40149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70FD" w14:textId="77777777" w:rsidR="00D40149" w:rsidRDefault="00D40149"/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08343" w14:textId="77777777" w:rsidR="00D40149" w:rsidRDefault="00F74405">
            <w:pPr>
              <w:jc w:val="center"/>
            </w:pPr>
            <w:r>
              <w:t>20-фут.</w:t>
            </w:r>
          </w:p>
          <w:p w14:paraId="1B1863CE" w14:textId="77777777" w:rsidR="00D40149" w:rsidRDefault="00F74405">
            <w:pPr>
              <w:jc w:val="center"/>
              <w:rPr>
                <w:lang w:val="en-US"/>
              </w:rPr>
            </w:pPr>
            <w:r>
              <w:t>Ктк</w:t>
            </w:r>
            <w:r>
              <w:rPr>
                <w:lang w:val="en-US"/>
              </w:rPr>
              <w:t xml:space="preserve"> (TEU)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B98DBC" w14:textId="77777777" w:rsidR="00D40149" w:rsidRDefault="00F74405">
            <w:pPr>
              <w:jc w:val="center"/>
            </w:pPr>
            <w:r>
              <w:t>40-фут.</w:t>
            </w:r>
          </w:p>
          <w:p w14:paraId="167F2C1B" w14:textId="77777777" w:rsidR="00D40149" w:rsidRDefault="00F74405">
            <w:pPr>
              <w:jc w:val="center"/>
              <w:rPr>
                <w:lang w:val="en-US"/>
              </w:rPr>
            </w:pPr>
            <w:r>
              <w:t>Ктк</w:t>
            </w:r>
            <w:r>
              <w:rPr>
                <w:lang w:val="en-US"/>
              </w:rPr>
              <w:t xml:space="preserve"> (2TEU)</w:t>
            </w:r>
          </w:p>
        </w:tc>
      </w:tr>
      <w:tr w:rsidR="00D40149" w14:paraId="181E3BC9" w14:textId="77777777">
        <w:trPr>
          <w:trHeight w:val="123"/>
        </w:trPr>
        <w:tc>
          <w:tcPr>
            <w:tcW w:w="10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E620" w14:textId="77777777" w:rsidR="00D40149" w:rsidRDefault="00F7440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Экспортные, </w:t>
            </w:r>
            <w:r>
              <w:rPr>
                <w:b/>
                <w:bCs/>
                <w:color w:val="000000" w:themeColor="text1"/>
              </w:rPr>
              <w:t xml:space="preserve">транзитные </w:t>
            </w:r>
            <w:r>
              <w:rPr>
                <w:b/>
                <w:bCs/>
              </w:rPr>
              <w:t>контейнеры</w:t>
            </w:r>
          </w:p>
        </w:tc>
      </w:tr>
      <w:tr w:rsidR="00D40149" w14:paraId="7F691002" w14:textId="77777777">
        <w:trPr>
          <w:trHeight w:val="30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E83F8C" w14:textId="77777777" w:rsidR="00D40149" w:rsidRDefault="00F74405">
            <w:pPr>
              <w:jc w:val="center"/>
            </w:pPr>
            <w:r>
              <w:t>3.1.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ABA2C" w14:textId="77777777" w:rsidR="00D40149" w:rsidRDefault="00F74405">
            <w:pPr>
              <w:jc w:val="both"/>
            </w:pPr>
            <w:r>
              <w:t xml:space="preserve">Хранение после истечения срока технологического накопления </w:t>
            </w:r>
            <w:r>
              <w:rPr>
                <w:b/>
              </w:rPr>
              <w:t xml:space="preserve">с 1 </w:t>
            </w:r>
            <w:r>
              <w:t>дня по 30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FB6E" w14:textId="77777777" w:rsidR="00D40149" w:rsidRDefault="00F74405">
            <w:pPr>
              <w:jc w:val="center"/>
            </w:pPr>
            <w:r>
              <w:t>1 шт / сутки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E95CF" w14:textId="77777777" w:rsidR="00D40149" w:rsidRDefault="00F74405">
            <w:pPr>
              <w:rPr>
                <w:b/>
                <w:color w:val="FF0000"/>
              </w:rPr>
            </w:pPr>
            <w:r>
              <w:t>180,00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00C9" w14:textId="77777777" w:rsidR="00D40149" w:rsidRDefault="00F74405">
            <w:pPr>
              <w:rPr>
                <w:b/>
                <w:color w:val="FF0000"/>
              </w:rPr>
            </w:pPr>
            <w:r>
              <w:t>360,00</w:t>
            </w:r>
          </w:p>
        </w:tc>
      </w:tr>
      <w:tr w:rsidR="00D40149" w14:paraId="09D19713" w14:textId="77777777">
        <w:trPr>
          <w:trHeight w:val="30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819A1" w14:textId="77777777" w:rsidR="00D40149" w:rsidRDefault="00F74405">
            <w:pPr>
              <w:jc w:val="center"/>
            </w:pPr>
            <w:r>
              <w:t>3.2.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2DE5" w14:textId="77777777" w:rsidR="00D40149" w:rsidRDefault="00F74405">
            <w:pPr>
              <w:jc w:val="both"/>
            </w:pPr>
            <w:r>
              <w:t>Хранение после истечения срока технологического накопления с 31 суток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A67F" w14:textId="77777777" w:rsidR="00D40149" w:rsidRDefault="00F74405">
            <w:pPr>
              <w:jc w:val="center"/>
            </w:pPr>
            <w:r>
              <w:t>1 шт / сутки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53D29" w14:textId="77777777" w:rsidR="00D40149" w:rsidRDefault="00F74405">
            <w:r>
              <w:t>360,00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844BB" w14:textId="77777777" w:rsidR="00D40149" w:rsidRDefault="00F74405">
            <w:r>
              <w:t>720,00</w:t>
            </w:r>
          </w:p>
        </w:tc>
      </w:tr>
    </w:tbl>
    <w:p w14:paraId="489D5EE9" w14:textId="77777777" w:rsidR="00D40149" w:rsidRDefault="00D40149">
      <w:pPr>
        <w:jc w:val="both"/>
      </w:pPr>
    </w:p>
    <w:p w14:paraId="584EF486" w14:textId="77777777" w:rsidR="00D40149" w:rsidRDefault="00F74405">
      <w:pPr>
        <w:jc w:val="both"/>
        <w:rPr>
          <w:lang w:val="en-US"/>
        </w:rPr>
      </w:pPr>
      <w:r>
        <w:t>Примечание к п.3:</w:t>
      </w:r>
    </w:p>
    <w:p w14:paraId="68079763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Первым днём тарификации услуги по хранению контейнера является дата, следующая за датой окончания срока технологического накопления контейнера. В случае, если срок технологического накопления контейнера равен нулю, первый день тарификации услуги по хранению приравнивается к первому дню технологического накопления контейнера.</w:t>
      </w:r>
    </w:p>
    <w:p w14:paraId="0647A196" w14:textId="77777777" w:rsidR="00D40149" w:rsidRDefault="00F74405">
      <w:pPr>
        <w:pStyle w:val="af8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Последним днем тарификации услуги по хранению контейнера является дата погрузки контейнера на автотранспорт.</w:t>
      </w:r>
    </w:p>
    <w:p w14:paraId="050EAB32" w14:textId="77777777" w:rsidR="00D40149" w:rsidRDefault="00D40149">
      <w:pPr>
        <w:jc w:val="both"/>
        <w:rPr>
          <w:b/>
          <w:bCs/>
        </w:rPr>
      </w:pPr>
    </w:p>
    <w:p w14:paraId="1ECA5D61" w14:textId="77777777" w:rsidR="00D40149" w:rsidRDefault="00D40149">
      <w:pPr>
        <w:rPr>
          <w:b/>
          <w:bCs/>
        </w:rPr>
      </w:pPr>
    </w:p>
    <w:p w14:paraId="546D1F43" w14:textId="77777777" w:rsidR="00D40149" w:rsidRDefault="00D40149">
      <w:pPr>
        <w:rPr>
          <w:b/>
          <w:bCs/>
        </w:rPr>
      </w:pPr>
    </w:p>
    <w:p w14:paraId="7955430D" w14:textId="77777777" w:rsidR="00D40149" w:rsidRDefault="00F74405">
      <w:pPr>
        <w:pStyle w:val="afa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Простой вагонов на путях необщего пользования по вине Клиента</w:t>
      </w:r>
    </w:p>
    <w:p w14:paraId="56FA3146" w14:textId="77777777" w:rsidR="00D40149" w:rsidRDefault="00D40149">
      <w:pPr>
        <w:rPr>
          <w:b/>
          <w:bCs/>
        </w:rPr>
      </w:pPr>
    </w:p>
    <w:tbl>
      <w:tblPr>
        <w:tblStyle w:val="af6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46"/>
        <w:gridCol w:w="4674"/>
        <w:gridCol w:w="850"/>
        <w:gridCol w:w="4394"/>
      </w:tblGrid>
      <w:tr w:rsidR="00D40149" w14:paraId="1BDDCD48" w14:textId="77777777">
        <w:trPr>
          <w:trHeight w:val="470"/>
        </w:trPr>
        <w:tc>
          <w:tcPr>
            <w:tcW w:w="704" w:type="dxa"/>
          </w:tcPr>
          <w:p w14:paraId="57412577" w14:textId="77777777" w:rsidR="00D40149" w:rsidRDefault="00F74405">
            <w:pPr>
              <w:rPr>
                <w:b/>
              </w:rPr>
            </w:pPr>
            <w:r>
              <w:t>No</w:t>
            </w:r>
          </w:p>
        </w:tc>
        <w:tc>
          <w:tcPr>
            <w:tcW w:w="4820" w:type="dxa"/>
            <w:gridSpan w:val="2"/>
          </w:tcPr>
          <w:p w14:paraId="79473AAA" w14:textId="77777777" w:rsidR="00D40149" w:rsidRDefault="00F74405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CA2964D" w14:textId="77777777" w:rsidR="00D40149" w:rsidRDefault="00F74405">
            <w:pPr>
              <w:jc w:val="center"/>
              <w:rPr>
                <w:b/>
              </w:rPr>
            </w:pPr>
            <w:r>
              <w:t>Ед.изм.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CDC44" w14:textId="77777777" w:rsidR="00D40149" w:rsidRDefault="00F74405">
            <w:pPr>
              <w:jc w:val="center"/>
            </w:pPr>
            <w:r>
              <w:t xml:space="preserve">Стоимость в руб. </w:t>
            </w:r>
          </w:p>
          <w:p w14:paraId="1F4B03CF" w14:textId="77777777" w:rsidR="00D40149" w:rsidRDefault="00F74405">
            <w:pPr>
              <w:jc w:val="center"/>
            </w:pPr>
            <w:r>
              <w:t>за единицу измерения (тариф)</w:t>
            </w:r>
          </w:p>
        </w:tc>
      </w:tr>
      <w:tr w:rsidR="00D40149" w14:paraId="3FC2FC0F" w14:textId="77777777">
        <w:trPr>
          <w:trHeight w:val="98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F5A9" w14:textId="77777777" w:rsidR="00D40149" w:rsidRDefault="00F74405">
            <w:r>
              <w:t>4.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1835" w14:textId="77777777" w:rsidR="00D40149" w:rsidRDefault="00F74405">
            <w:pPr>
              <w:jc w:val="center"/>
            </w:pPr>
            <w:r>
              <w:t>Простой вагонов на путях необщего пользования</w:t>
            </w:r>
            <w:r>
              <w:br/>
              <w:t xml:space="preserve"> с 3-х суток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6B7F" w14:textId="77777777" w:rsidR="00D40149" w:rsidRDefault="00F74405">
            <w:pPr>
              <w:jc w:val="center"/>
            </w:pPr>
            <w:r>
              <w:t>1</w:t>
            </w:r>
          </w:p>
          <w:p w14:paraId="4EFE8A21" w14:textId="77777777" w:rsidR="00D40149" w:rsidRDefault="00F74405">
            <w:pPr>
              <w:jc w:val="center"/>
            </w:pPr>
            <w:r>
              <w:t>сут/</w:t>
            </w:r>
          </w:p>
          <w:p w14:paraId="1605E729" w14:textId="77777777" w:rsidR="00D40149" w:rsidRDefault="00F74405">
            <w:pPr>
              <w:jc w:val="center"/>
            </w:pPr>
            <w:r>
              <w:t>вагон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DB32" w14:textId="77777777" w:rsidR="00D40149" w:rsidRDefault="00F74405">
            <w:pPr>
              <w:jc w:val="center"/>
            </w:pPr>
            <w:r>
              <w:br/>
              <w:t>1100</w:t>
            </w:r>
          </w:p>
        </w:tc>
      </w:tr>
      <w:tr w:rsidR="00D40149" w14:paraId="3470E4F0" w14:textId="77777777">
        <w:trPr>
          <w:gridAfter w:val="3"/>
          <w:wAfter w:w="9918" w:type="dxa"/>
          <w:trHeight w:val="58"/>
        </w:trPr>
        <w:tc>
          <w:tcPr>
            <w:tcW w:w="85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4C9EB2" w14:textId="77777777" w:rsidR="00D40149" w:rsidRDefault="00D40149">
            <w:pPr>
              <w:jc w:val="center"/>
              <w:rPr>
                <w:color w:val="FF0000"/>
              </w:rPr>
            </w:pPr>
          </w:p>
        </w:tc>
      </w:tr>
    </w:tbl>
    <w:p w14:paraId="6A0B8F98" w14:textId="77777777" w:rsidR="00D40149" w:rsidRDefault="00D40149">
      <w:pPr>
        <w:pStyle w:val="af8"/>
        <w:jc w:val="both"/>
      </w:pPr>
    </w:p>
    <w:p w14:paraId="5890B433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Ставки, указанные в п.3., п.4., даны с учетом НДС 20%. Начисление НДС производится в соответствии с законодательством Российской Федерации. </w:t>
      </w:r>
    </w:p>
    <w:p w14:paraId="425DFDA4" w14:textId="77777777" w:rsidR="00D40149" w:rsidRDefault="00D40149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2AD852BF" w14:textId="77777777" w:rsidR="00D40149" w:rsidRDefault="00F74405">
      <w:pPr>
        <w:pStyle w:val="afa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Дополнительные расходы, не включенные в ставку: </w:t>
      </w:r>
    </w:p>
    <w:p w14:paraId="47EB3EE1" w14:textId="77777777" w:rsidR="00D40149" w:rsidRDefault="00D40149">
      <w:pPr>
        <w:pStyle w:val="af8"/>
        <w:ind w:left="360"/>
        <w:jc w:val="both"/>
        <w:rPr>
          <w:rFonts w:ascii="Times New Roman" w:hAnsi="Times New Roman" w:cs="Times New Roman"/>
        </w:rPr>
      </w:pPr>
    </w:p>
    <w:p w14:paraId="26D8213F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дополнительным расходам, понесенным Экспедитором в интересах Клиента, которые могут возникнуть в независимости от воли Сторон, связанные с подработкой грузов, относятся материалы крепления, и другие расходы, связанные с исполнением заявки Клиента.</w:t>
      </w:r>
    </w:p>
    <w:p w14:paraId="4C8029C1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 дополнительные расходы, не указанные в п.1. настоящего Приложения, должны быть согласованы сторонами в письменной форме, и возмещаются Клиентом Экспедитору на основании соответствующего счёта и подтверждающих документов.</w:t>
      </w:r>
    </w:p>
    <w:p w14:paraId="6BCEAFF8" w14:textId="77777777" w:rsidR="00D40149" w:rsidRDefault="00D40149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7341BBA5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Стоимость услуг и работ Экспедитора определяется путем умножения соответствующего тарифа на количество единиц измерения.</w:t>
      </w:r>
    </w:p>
    <w:p w14:paraId="3BC8A134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При расчете почасовой и посуточной стоимости услуг неполный час рассчитывается как полный, неполные сутки рассчитываются как полные. </w:t>
      </w:r>
    </w:p>
    <w:p w14:paraId="1ADD0FE6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Тарифы, оговоренные в настоящем Приложении к Договору, не включают государственные налоги (налог на добавленную стоимость и др.), которые начисляются, выставляются к оплате и оплачиваются в том порядке и размере, как это установлено действующим законодательством Российской Федерации. Счета оплачиваются в рублях по курсу ЦБ на день выставления счета + конвертация, размер конвертации указан в договоре. Счета оплачиваются в течение 3-х банковских дней с даты выставления счета. В случае нарушения срока оплаты применяются пени в размере 0,1% в день от суммы просроченной задолженности за каждый день просрочки платежа.</w:t>
      </w:r>
    </w:p>
    <w:p w14:paraId="2DB7B363" w14:textId="77777777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Экспедитор вправе изменить стоимость экспортных ставок путем направления письменного уведомления (нотиса). Клиент обязан не позднее 24 (двадцати четырех) часов с момента подтверждения размещения букинга, направить по электронной почте Заявку с согласованной ставкой фрахта на экспорт из нотиса и прочими условиями осуществления перевозки, заверенной путем подписи ответственного лица, скрепленной печатью организации. В случае отсутствия Заявки от Клиента в вышеуказанный срок Экспедитор вправе приостановить оказание услуг до момента получения Заявки.</w:t>
      </w:r>
    </w:p>
    <w:p w14:paraId="7B69A5B8" w14:textId="287CAA74" w:rsidR="00D40149" w:rsidRDefault="00F7440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Настоящее Приложение является неотъемлемой частью Договора № ……… ОТ «..» ……. 202</w:t>
      </w:r>
      <w:r w:rsidR="00287F46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г., и вступает в силу с даты его подписания.</w:t>
      </w:r>
    </w:p>
    <w:p w14:paraId="1F076BFF" w14:textId="77777777" w:rsidR="00D40149" w:rsidRDefault="00D40149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7AC6DBB1" w14:textId="77777777" w:rsidR="00D40149" w:rsidRDefault="00D40149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39E70F23" w14:textId="77777777" w:rsidR="00D40149" w:rsidRDefault="00F74405">
      <w:pPr>
        <w:jc w:val="both"/>
      </w:pPr>
      <w:r>
        <w:rPr>
          <w:lang w:val="en-US"/>
        </w:rPr>
        <w:t>EMAIL</w:t>
      </w:r>
      <w:r>
        <w:t xml:space="preserve"> для рассылки нотисов: </w:t>
      </w:r>
      <w:r>
        <w:rPr>
          <w:b/>
          <w:bCs/>
        </w:rPr>
        <w:t>по данным, которые указаны в реквизитах Договора.</w:t>
      </w:r>
    </w:p>
    <w:p w14:paraId="703C72AD" w14:textId="77777777" w:rsidR="00D40149" w:rsidRDefault="00D40149">
      <w:pPr>
        <w:jc w:val="both"/>
      </w:pPr>
    </w:p>
    <w:p w14:paraId="5A084331" w14:textId="77777777" w:rsidR="00D40149" w:rsidRDefault="00D40149">
      <w:pPr>
        <w:jc w:val="both"/>
      </w:pPr>
    </w:p>
    <w:p w14:paraId="0A06A1D2" w14:textId="77777777" w:rsidR="00D40149" w:rsidRDefault="00D40149">
      <w:pPr>
        <w:jc w:val="both"/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40149" w14:paraId="46634AEF" w14:textId="77777777">
        <w:tc>
          <w:tcPr>
            <w:tcW w:w="4672" w:type="dxa"/>
          </w:tcPr>
          <w:p w14:paraId="3B7AA1CC" w14:textId="77777777" w:rsidR="00D40149" w:rsidRDefault="00F74405">
            <w:r>
              <w:rPr>
                <w:b/>
              </w:rPr>
              <w:t xml:space="preserve">ЭКСПЕДИТОР:     </w:t>
            </w:r>
          </w:p>
        </w:tc>
        <w:tc>
          <w:tcPr>
            <w:tcW w:w="4672" w:type="dxa"/>
          </w:tcPr>
          <w:p w14:paraId="6A9DE4E6" w14:textId="77777777" w:rsidR="00D40149" w:rsidRDefault="00F74405">
            <w:r>
              <w:rPr>
                <w:b/>
              </w:rPr>
              <w:t>КЛИЕНТ:</w:t>
            </w:r>
          </w:p>
        </w:tc>
      </w:tr>
      <w:tr w:rsidR="00D40149" w14:paraId="2DEBD429" w14:textId="77777777">
        <w:tc>
          <w:tcPr>
            <w:tcW w:w="4672" w:type="dxa"/>
          </w:tcPr>
          <w:p w14:paraId="6A3E8492" w14:textId="77777777" w:rsidR="00D40149" w:rsidRDefault="00D40149"/>
        </w:tc>
        <w:tc>
          <w:tcPr>
            <w:tcW w:w="4672" w:type="dxa"/>
          </w:tcPr>
          <w:p w14:paraId="7B70B565" w14:textId="77777777" w:rsidR="00D40149" w:rsidRDefault="00D40149"/>
        </w:tc>
      </w:tr>
      <w:tr w:rsidR="00D40149" w14:paraId="513F3662" w14:textId="77777777" w:rsidTr="00F74405">
        <w:trPr>
          <w:trHeight w:val="312"/>
        </w:trPr>
        <w:tc>
          <w:tcPr>
            <w:tcW w:w="4672" w:type="dxa"/>
          </w:tcPr>
          <w:p w14:paraId="4B36F519" w14:textId="5BA35D1D" w:rsidR="00D40149" w:rsidRDefault="00F74405" w:rsidP="00F74405">
            <w:pPr>
              <w:jc w:val="both"/>
            </w:pPr>
            <w:r>
              <w:t>__________________________</w:t>
            </w:r>
            <w:r>
              <w:rPr>
                <w:b/>
              </w:rPr>
              <w:t xml:space="preserve"> </w:t>
            </w:r>
            <w:r w:rsidRPr="00F74405">
              <w:t>Берсенев А.И./</w:t>
            </w:r>
          </w:p>
        </w:tc>
        <w:tc>
          <w:tcPr>
            <w:tcW w:w="4672" w:type="dxa"/>
          </w:tcPr>
          <w:p w14:paraId="16658F82" w14:textId="77777777" w:rsidR="00D40149" w:rsidRDefault="00F74405">
            <w:r>
              <w:rPr>
                <w:b/>
                <w:bCs/>
              </w:rPr>
              <w:t xml:space="preserve">_____________________ </w:t>
            </w:r>
          </w:p>
        </w:tc>
      </w:tr>
    </w:tbl>
    <w:p w14:paraId="0116245F" w14:textId="77777777" w:rsidR="00D40149" w:rsidRDefault="00D40149">
      <w:pPr>
        <w:pStyle w:val="Standard"/>
      </w:pPr>
    </w:p>
    <w:p w14:paraId="497E1106" w14:textId="77777777" w:rsidR="00D40149" w:rsidRDefault="00D40149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sectPr w:rsidR="00D40149">
      <w:headerReference w:type="default" r:id="rId10"/>
      <w:footerReference w:type="default" r:id="rId11"/>
      <w:pgSz w:w="12240" w:h="15840"/>
      <w:pgMar w:top="720" w:right="720" w:bottom="720" w:left="720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BAD8" w14:textId="77777777" w:rsidR="00D40149" w:rsidRDefault="00F74405">
      <w:r>
        <w:separator/>
      </w:r>
    </w:p>
  </w:endnote>
  <w:endnote w:type="continuationSeparator" w:id="0">
    <w:p w14:paraId="1519296A" w14:textId="77777777" w:rsidR="00D40149" w:rsidRDefault="00F7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8C14" w14:textId="77777777" w:rsidR="00D40149" w:rsidRDefault="00F74405">
    <w:pPr>
      <w:pStyle w:val="Standard"/>
      <w:jc w:val="center"/>
      <w:rPr>
        <w:sz w:val="20"/>
        <w:szCs w:val="20"/>
      </w:rPr>
    </w:pPr>
    <w:r>
      <w:rPr>
        <w:sz w:val="20"/>
        <w:szCs w:val="20"/>
      </w:rPr>
      <w:t>Экспедитор ___________________                                                    Клиент  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FC16" w14:textId="77777777" w:rsidR="00D40149" w:rsidRDefault="00F74405">
      <w:r>
        <w:separator/>
      </w:r>
    </w:p>
  </w:footnote>
  <w:footnote w:type="continuationSeparator" w:id="0">
    <w:p w14:paraId="1DDE470A" w14:textId="77777777" w:rsidR="00D40149" w:rsidRDefault="00F7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7638" w14:textId="77777777" w:rsidR="00D40149" w:rsidRDefault="00287F46">
    <w:pPr>
      <w:pStyle w:val="af2"/>
      <w:tabs>
        <w:tab w:val="clear" w:pos="4677"/>
        <w:tab w:val="clear" w:pos="9355"/>
        <w:tab w:val="left" w:pos="770"/>
      </w:tabs>
    </w:pPr>
    <w:sdt>
      <w:sdtPr>
        <w:id w:val="-1402755524"/>
        <w:docPartObj>
          <w:docPartGallery w:val="Page Numbers (Margins)"/>
          <w:docPartUnique/>
        </w:docPartObj>
      </w:sdtPr>
      <w:sdtEndPr/>
      <w:sdtContent>
        <w:r w:rsidR="00F74405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B46E99" wp14:editId="1D03D1BB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10935AA" w14:textId="77777777" w:rsidR="00D40149" w:rsidRDefault="00F74405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shape id="shape 0" o:spid="_x0000_s0" o:spt="1" style="position:absolute;mso-wrap-distance-left:9.0pt;mso-wrap-distance-top:0.0pt;mso-wrap-distance-right:9.0pt;mso-wrap-distance-bottom:0.0pt;z-index:251659264;o:allowoverlap:true;o:allowincell:false;mso-position-horizontal-relative:right-margin-area;mso-position-horizontal:center;mso-position-vertical-relative:page;mso-position-vertical:center;width:60.0pt;height:70.5pt;v-text-anchor:top;" coordsize="100000,100000" path="" fillcolor="#FFFFFF" stroked="f">
                  <v:path textboxrect="0,0,0,0"/>
                  <v:textbox>
                    <w:txbxContent>
                      <w:sdt>
                        <w:sdtPr>
                          <w15:appearance w15:val="boundingBox"/>
                          <w:id w:val="-1807150379"/>
                          <w:docPartObj>
                            <w:docPartGallery w:val="Page Numbers (Margins)"/>
                            <w:docPartUnique w:val="true"/>
                          </w:docPartObj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</w:sdtPr>
                        <w:sdtContent>
                          <w:p>
                            <w:pPr>
                              <w:jc w:val="center"/>
                              <w:rPr>
                                <w:rFonts w:asciiTheme="majorHAnsi" w:hAnsiTheme="majorHAnsi" w:eastAsiaTheme="majorEastAsia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eastAsiaTheme="minorEastAsi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eastAsiaTheme="minorEastAsia"/>
                              </w:rPr>
                              <w:instrText xml:space="preserve">PAGE  \* MERGEFORMAT</w:instrText>
                            </w:r>
                            <w:r>
                              <w:rPr>
                                <w:rFonts w:asciiTheme="minorHAnsi" w:hAnsiTheme="minorHAnsi" w:eastAsiaTheme="minorEastAsi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t xml:space="preserve">2</w:t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  <w:r/>
                          </w:p>
                        </w:sdtContent>
                      </w:sdt>
                    </w:txbxContent>
                  </v:textbox>
                </v:shape>
              </w:pict>
            </mc:Fallback>
          </mc:AlternateContent>
        </w:r>
      </w:sdtContent>
    </w:sdt>
    <w:r w:rsidR="00F74405">
      <w:tab/>
    </w:r>
  </w:p>
  <w:p w14:paraId="71A32D6A" w14:textId="77777777" w:rsidR="00D40149" w:rsidRDefault="00F74405">
    <w:pPr>
      <w:pStyle w:val="af2"/>
      <w:jc w:val="center"/>
    </w:pPr>
    <w:r>
      <w:rPr>
        <w:b/>
        <w:noProof/>
        <w:color w:val="0000FF"/>
        <w:sz w:val="36"/>
        <w:szCs w:val="36"/>
      </w:rPr>
      <mc:AlternateContent>
        <mc:Choice Requires="wpg">
          <w:drawing>
            <wp:inline distT="0" distB="0" distL="0" distR="0" wp14:anchorId="3691A6DC" wp14:editId="0CBB1B0B">
              <wp:extent cx="3213100" cy="598857"/>
              <wp:effectExtent l="0" t="0" r="6350" b="0"/>
              <wp:docPr id="2" name="Рисунок 1" descr="C:\work\CMA CGM LOG RATES\CUSTOMERS\NECO LINE\logo neco grou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C:\work\CMA CGM LOG RATES\CUSTOMERS\NECO LINE\logo neco group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341017" cy="62269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53.0pt;height:47.2pt;" stroked="f">
              <v:path textboxrect="0,0,0,0"/>
              <v:imagedata r:id="rId2" o:title=""/>
            </v:shape>
          </w:pict>
        </mc:Fallback>
      </mc:AlternateContent>
    </w:r>
  </w:p>
  <w:p w14:paraId="1C12369E" w14:textId="77777777" w:rsidR="00D40149" w:rsidRDefault="00D40149">
    <w:pPr>
      <w:pStyle w:val="af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955AF"/>
    <w:multiLevelType w:val="hybridMultilevel"/>
    <w:tmpl w:val="DCF06DA4"/>
    <w:lvl w:ilvl="0" w:tplc="9EA0E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3693AA">
      <w:start w:val="1"/>
      <w:numFmt w:val="lowerLetter"/>
      <w:lvlText w:val="%2."/>
      <w:lvlJc w:val="left"/>
      <w:pPr>
        <w:ind w:left="1440" w:hanging="360"/>
      </w:pPr>
    </w:lvl>
    <w:lvl w:ilvl="2" w:tplc="73C4C944">
      <w:start w:val="1"/>
      <w:numFmt w:val="lowerRoman"/>
      <w:lvlText w:val="%3."/>
      <w:lvlJc w:val="right"/>
      <w:pPr>
        <w:ind w:left="2160" w:hanging="180"/>
      </w:pPr>
    </w:lvl>
    <w:lvl w:ilvl="3" w:tplc="B88C504A">
      <w:start w:val="1"/>
      <w:numFmt w:val="decimal"/>
      <w:lvlText w:val="%4."/>
      <w:lvlJc w:val="left"/>
      <w:pPr>
        <w:ind w:left="2880" w:hanging="360"/>
      </w:pPr>
    </w:lvl>
    <w:lvl w:ilvl="4" w:tplc="913E9530">
      <w:start w:val="1"/>
      <w:numFmt w:val="lowerLetter"/>
      <w:lvlText w:val="%5."/>
      <w:lvlJc w:val="left"/>
      <w:pPr>
        <w:ind w:left="3600" w:hanging="360"/>
      </w:pPr>
    </w:lvl>
    <w:lvl w:ilvl="5" w:tplc="D35E4A5E">
      <w:start w:val="1"/>
      <w:numFmt w:val="lowerRoman"/>
      <w:lvlText w:val="%6."/>
      <w:lvlJc w:val="right"/>
      <w:pPr>
        <w:ind w:left="4320" w:hanging="180"/>
      </w:pPr>
    </w:lvl>
    <w:lvl w:ilvl="6" w:tplc="6390EEA6">
      <w:start w:val="1"/>
      <w:numFmt w:val="decimal"/>
      <w:lvlText w:val="%7."/>
      <w:lvlJc w:val="left"/>
      <w:pPr>
        <w:ind w:left="5040" w:hanging="360"/>
      </w:pPr>
    </w:lvl>
    <w:lvl w:ilvl="7" w:tplc="14D21B26">
      <w:start w:val="1"/>
      <w:numFmt w:val="lowerLetter"/>
      <w:lvlText w:val="%8."/>
      <w:lvlJc w:val="left"/>
      <w:pPr>
        <w:ind w:left="5760" w:hanging="360"/>
      </w:pPr>
    </w:lvl>
    <w:lvl w:ilvl="8" w:tplc="C792E6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4AE2"/>
    <w:multiLevelType w:val="multilevel"/>
    <w:tmpl w:val="15F85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66623F2"/>
    <w:multiLevelType w:val="hybridMultilevel"/>
    <w:tmpl w:val="62E0805C"/>
    <w:lvl w:ilvl="0" w:tplc="AEEE8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22A254">
      <w:start w:val="1"/>
      <w:numFmt w:val="lowerLetter"/>
      <w:lvlText w:val="%2."/>
      <w:lvlJc w:val="left"/>
      <w:pPr>
        <w:ind w:left="1440" w:hanging="360"/>
      </w:pPr>
    </w:lvl>
    <w:lvl w:ilvl="2" w:tplc="002A90AE">
      <w:start w:val="1"/>
      <w:numFmt w:val="lowerRoman"/>
      <w:lvlText w:val="%3."/>
      <w:lvlJc w:val="right"/>
      <w:pPr>
        <w:ind w:left="2160" w:hanging="180"/>
      </w:pPr>
    </w:lvl>
    <w:lvl w:ilvl="3" w:tplc="D584D864">
      <w:start w:val="1"/>
      <w:numFmt w:val="decimal"/>
      <w:lvlText w:val="%4."/>
      <w:lvlJc w:val="left"/>
      <w:pPr>
        <w:ind w:left="2880" w:hanging="360"/>
      </w:pPr>
    </w:lvl>
    <w:lvl w:ilvl="4" w:tplc="FA56555E">
      <w:start w:val="1"/>
      <w:numFmt w:val="lowerLetter"/>
      <w:lvlText w:val="%5."/>
      <w:lvlJc w:val="left"/>
      <w:pPr>
        <w:ind w:left="3600" w:hanging="360"/>
      </w:pPr>
    </w:lvl>
    <w:lvl w:ilvl="5" w:tplc="49E2E4E2">
      <w:start w:val="1"/>
      <w:numFmt w:val="lowerRoman"/>
      <w:lvlText w:val="%6."/>
      <w:lvlJc w:val="right"/>
      <w:pPr>
        <w:ind w:left="4320" w:hanging="180"/>
      </w:pPr>
    </w:lvl>
    <w:lvl w:ilvl="6" w:tplc="3F783F82">
      <w:start w:val="1"/>
      <w:numFmt w:val="decimal"/>
      <w:lvlText w:val="%7."/>
      <w:lvlJc w:val="left"/>
      <w:pPr>
        <w:ind w:left="5040" w:hanging="360"/>
      </w:pPr>
    </w:lvl>
    <w:lvl w:ilvl="7" w:tplc="E384F1E0">
      <w:start w:val="1"/>
      <w:numFmt w:val="lowerLetter"/>
      <w:lvlText w:val="%8."/>
      <w:lvlJc w:val="left"/>
      <w:pPr>
        <w:ind w:left="5760" w:hanging="360"/>
      </w:pPr>
    </w:lvl>
    <w:lvl w:ilvl="8" w:tplc="A088EB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0FFA"/>
    <w:multiLevelType w:val="hybridMultilevel"/>
    <w:tmpl w:val="206E7A64"/>
    <w:lvl w:ilvl="0" w:tplc="E766F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74CA66">
      <w:start w:val="1"/>
      <w:numFmt w:val="lowerLetter"/>
      <w:lvlText w:val="%2."/>
      <w:lvlJc w:val="left"/>
      <w:pPr>
        <w:ind w:left="1800" w:hanging="360"/>
      </w:pPr>
    </w:lvl>
    <w:lvl w:ilvl="2" w:tplc="27AA127E">
      <w:start w:val="1"/>
      <w:numFmt w:val="lowerRoman"/>
      <w:lvlText w:val="%3."/>
      <w:lvlJc w:val="right"/>
      <w:pPr>
        <w:ind w:left="2520" w:hanging="180"/>
      </w:pPr>
    </w:lvl>
    <w:lvl w:ilvl="3" w:tplc="D2187610">
      <w:start w:val="1"/>
      <w:numFmt w:val="decimal"/>
      <w:lvlText w:val="%4."/>
      <w:lvlJc w:val="left"/>
      <w:pPr>
        <w:ind w:left="3240" w:hanging="360"/>
      </w:pPr>
    </w:lvl>
    <w:lvl w:ilvl="4" w:tplc="B7129BDE">
      <w:start w:val="1"/>
      <w:numFmt w:val="lowerLetter"/>
      <w:lvlText w:val="%5."/>
      <w:lvlJc w:val="left"/>
      <w:pPr>
        <w:ind w:left="3960" w:hanging="360"/>
      </w:pPr>
    </w:lvl>
    <w:lvl w:ilvl="5" w:tplc="20909DF0">
      <w:start w:val="1"/>
      <w:numFmt w:val="lowerRoman"/>
      <w:lvlText w:val="%6."/>
      <w:lvlJc w:val="right"/>
      <w:pPr>
        <w:ind w:left="4680" w:hanging="180"/>
      </w:pPr>
    </w:lvl>
    <w:lvl w:ilvl="6" w:tplc="751AEA14">
      <w:start w:val="1"/>
      <w:numFmt w:val="decimal"/>
      <w:lvlText w:val="%7."/>
      <w:lvlJc w:val="left"/>
      <w:pPr>
        <w:ind w:left="5400" w:hanging="360"/>
      </w:pPr>
    </w:lvl>
    <w:lvl w:ilvl="7" w:tplc="9698D6D8">
      <w:start w:val="1"/>
      <w:numFmt w:val="lowerLetter"/>
      <w:lvlText w:val="%8."/>
      <w:lvlJc w:val="left"/>
      <w:pPr>
        <w:ind w:left="6120" w:hanging="360"/>
      </w:pPr>
    </w:lvl>
    <w:lvl w:ilvl="8" w:tplc="C7602CDE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74A5F"/>
    <w:multiLevelType w:val="hybridMultilevel"/>
    <w:tmpl w:val="C5026536"/>
    <w:lvl w:ilvl="0" w:tplc="68365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2BE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9A9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CC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6D5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C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6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24D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2AF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6CC5"/>
    <w:multiLevelType w:val="hybridMultilevel"/>
    <w:tmpl w:val="1856DA4A"/>
    <w:lvl w:ilvl="0" w:tplc="C1CAF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CE9C20">
      <w:start w:val="1"/>
      <w:numFmt w:val="lowerLetter"/>
      <w:lvlText w:val="%2."/>
      <w:lvlJc w:val="left"/>
      <w:pPr>
        <w:ind w:left="1440" w:hanging="360"/>
      </w:pPr>
    </w:lvl>
    <w:lvl w:ilvl="2" w:tplc="E4C87CA0">
      <w:start w:val="1"/>
      <w:numFmt w:val="lowerRoman"/>
      <w:lvlText w:val="%3."/>
      <w:lvlJc w:val="right"/>
      <w:pPr>
        <w:ind w:left="2160" w:hanging="180"/>
      </w:pPr>
    </w:lvl>
    <w:lvl w:ilvl="3" w:tplc="81D44AEA">
      <w:start w:val="1"/>
      <w:numFmt w:val="decimal"/>
      <w:lvlText w:val="%4."/>
      <w:lvlJc w:val="left"/>
      <w:pPr>
        <w:ind w:left="2880" w:hanging="360"/>
      </w:pPr>
    </w:lvl>
    <w:lvl w:ilvl="4" w:tplc="6D3E4DCA">
      <w:start w:val="1"/>
      <w:numFmt w:val="lowerLetter"/>
      <w:lvlText w:val="%5."/>
      <w:lvlJc w:val="left"/>
      <w:pPr>
        <w:ind w:left="3600" w:hanging="360"/>
      </w:pPr>
    </w:lvl>
    <w:lvl w:ilvl="5" w:tplc="9D76552C">
      <w:start w:val="1"/>
      <w:numFmt w:val="lowerRoman"/>
      <w:lvlText w:val="%6."/>
      <w:lvlJc w:val="right"/>
      <w:pPr>
        <w:ind w:left="4320" w:hanging="180"/>
      </w:pPr>
    </w:lvl>
    <w:lvl w:ilvl="6" w:tplc="E474FD2A">
      <w:start w:val="1"/>
      <w:numFmt w:val="decimal"/>
      <w:lvlText w:val="%7."/>
      <w:lvlJc w:val="left"/>
      <w:pPr>
        <w:ind w:left="5040" w:hanging="360"/>
      </w:pPr>
    </w:lvl>
    <w:lvl w:ilvl="7" w:tplc="BD1C6A8C">
      <w:start w:val="1"/>
      <w:numFmt w:val="lowerLetter"/>
      <w:lvlText w:val="%8."/>
      <w:lvlJc w:val="left"/>
      <w:pPr>
        <w:ind w:left="5760" w:hanging="360"/>
      </w:pPr>
    </w:lvl>
    <w:lvl w:ilvl="8" w:tplc="1B7CB22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02423">
    <w:abstractNumId w:val="2"/>
  </w:num>
  <w:num w:numId="2" w16cid:durableId="1134717152">
    <w:abstractNumId w:val="4"/>
  </w:num>
  <w:num w:numId="3" w16cid:durableId="2086103578">
    <w:abstractNumId w:val="5"/>
  </w:num>
  <w:num w:numId="4" w16cid:durableId="879706136">
    <w:abstractNumId w:val="1"/>
  </w:num>
  <w:num w:numId="5" w16cid:durableId="538470529">
    <w:abstractNumId w:val="3"/>
  </w:num>
  <w:num w:numId="6" w16cid:durableId="48994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49"/>
    <w:rsid w:val="00287F46"/>
    <w:rsid w:val="00D40149"/>
    <w:rsid w:val="00F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E5A3"/>
  <w15:docId w15:val="{E5E91A8B-8D34-4FB4-9FAC-79B8B387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Standard"/>
    <w:link w:val="af3"/>
    <w:pPr>
      <w:suppressLineNumbers/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Standard"/>
    <w:link w:val="af5"/>
    <w:uiPriority w:val="99"/>
    <w:pPr>
      <w:suppressLineNumbers/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 (веб)1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8">
    <w:name w:val="No Spacing"/>
    <w:link w:val="af9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Pr>
      <w:rFonts w:eastAsiaTheme="minorEastAsia"/>
      <w:lang w:eastAsia="ru-RU"/>
    </w:rPr>
  </w:style>
  <w:style w:type="paragraph" w:styleId="afa">
    <w:name w:val="List Paragraph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891248B-3B21-44F4-AE61-61B175F6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Анастасия Ваганова</cp:lastModifiedBy>
  <cp:revision>23</cp:revision>
  <dcterms:created xsi:type="dcterms:W3CDTF">2022-06-24T09:04:00Z</dcterms:created>
  <dcterms:modified xsi:type="dcterms:W3CDTF">2024-01-16T07:43:00Z</dcterms:modified>
</cp:coreProperties>
</file>