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**VESPUCCI SOLUTIONS INTERNATIONAL - INTERNAL MEMORANDUM**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**CLASSIFICATION:** VSI/GOV-SVC/LVL 5 (MAXIMUM SENSITIVITY - MLD EYES ONLY)</w:t>
      </w:r>
    </w:p>
    <w:p w:rsidR="00000000" w:rsidDel="00000000" w:rsidP="00000000" w:rsidRDefault="00000000" w:rsidRPr="00000000" w14:paraId="00000004">
      <w:pPr>
        <w:rPr/>
      </w:pPr>
      <w:r w:rsidDel="00000000" w:rsidR="00000000" w:rsidRPr="00000000">
        <w:rPr>
          <w:rtl w:val="0"/>
        </w:rPr>
        <w:t xml:space="preserve">**TO:** Vice President, Government Services (VP-GS)</w:t>
      </w:r>
    </w:p>
    <w:p w:rsidR="00000000" w:rsidDel="00000000" w:rsidP="00000000" w:rsidRDefault="00000000" w:rsidRPr="00000000" w14:paraId="00000005">
      <w:pPr>
        <w:rPr/>
      </w:pPr>
      <w:r w:rsidDel="00000000" w:rsidR="00000000" w:rsidRPr="00000000">
        <w:rPr>
          <w:rtl w:val="0"/>
        </w:rPr>
        <w:t xml:space="preserve">**FROM:** MLD Project Director</w:t>
      </w:r>
    </w:p>
    <w:p w:rsidR="00000000" w:rsidDel="00000000" w:rsidP="00000000" w:rsidRDefault="00000000" w:rsidRPr="00000000" w14:paraId="00000006">
      <w:pPr>
        <w:rPr/>
      </w:pPr>
      <w:r w:rsidDel="00000000" w:rsidR="00000000" w:rsidRPr="00000000">
        <w:rPr>
          <w:rtl w:val="0"/>
        </w:rPr>
        <w:t xml:space="preserve">**CC:** Dir-Intel Ops; Dir-CO; Dir-SO; Dir-Legal &amp; Compliance</w:t>
      </w:r>
    </w:p>
    <w:p w:rsidR="00000000" w:rsidDel="00000000" w:rsidP="00000000" w:rsidRDefault="00000000" w:rsidRPr="00000000" w14:paraId="00000007">
      <w:pPr>
        <w:rPr/>
      </w:pPr>
      <w:r w:rsidDel="00000000" w:rsidR="00000000" w:rsidRPr="00000000">
        <w:rPr>
          <w:rtl w:val="0"/>
        </w:rPr>
        <w:t xml:space="preserve">**DATE:** 05 January 2026</w:t>
      </w:r>
    </w:p>
    <w:p w:rsidR="00000000" w:rsidDel="00000000" w:rsidP="00000000" w:rsidRDefault="00000000" w:rsidRPr="00000000" w14:paraId="00000008">
      <w:pPr>
        <w:rPr/>
      </w:pPr>
      <w:r w:rsidDel="00000000" w:rsidR="00000000" w:rsidRPr="00000000">
        <w:rPr>
          <w:rtl w:val="0"/>
        </w:rPr>
        <w:t xml:space="preserve">**SUBJECT:** MLD Risk Assessment Addendum - Phase 3/4 Transition - Exposure &amp; Control Risks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**VP-GS,**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addendum supplements the baseline Risk Assessment outlined in the MLD Strategic Plan (Rev 3.0, Section 5). As we approach the culmination of Phase 3 (Crisis Generation) and initiate Phase 4 (Kinetic Operations), several risk factors are heightened and require specific mitigation focus.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Elevated Risk Profile - Phase 3/4 Transition:**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**Exposure Risk (Client &amp; VSI):** The shift from primarily covert/deniable actions (Phase 2/3) to overt kinetic support (Phase 4) significantly increases the potential for direct attribution. Risks include: capture of embedded VSI personnel, recovery of VSI-linked equipment, compromise of secure communications during active engagements, and increased satellite/signals intelligence scrutiny by third parties.</w:t>
      </w:r>
    </w:p>
    <w:p w:rsidR="00000000" w:rsidDel="00000000" w:rsidP="00000000" w:rsidRDefault="00000000" w:rsidRPr="00000000" w14:paraId="00000011">
      <w:pPr>
        <w:rPr/>
      </w:pPr>
      <w:r w:rsidDel="00000000" w:rsidR="00000000" w:rsidRPr="00000000">
        <w:rPr>
          <w:rtl w:val="0"/>
        </w:rPr>
        <w:t xml:space="preserve">* **Proxy Control Risk:** While asset cultivation (Phase 2) and advisory structures (Phase 3) have been effective, empowering the designated "rebel" military force carries inherent risks. Potential deviations include: unsanctioned targeting, excessive collateral damage beyond approved Pacification Protocols (Ref: SOP Appendix K), leadership divergence from Client strategic objectives post-initial success, or internal fracturing.</w:t>
      </w:r>
    </w:p>
    <w:p w:rsidR="00000000" w:rsidDel="00000000" w:rsidP="00000000" w:rsidRDefault="00000000" w:rsidRPr="00000000" w14:paraId="00000012">
      <w:pPr>
        <w:rPr/>
      </w:pPr>
      <w:r w:rsidDel="00000000" w:rsidR="00000000" w:rsidRPr="00000000">
        <w:rPr>
          <w:rtl w:val="0"/>
        </w:rPr>
        <w:t xml:space="preserve">* **International Fallout Risk:** Open conflict will inevitably attract greater international scrutiny. Premature or poorly managed escalation could trigger sanctions, formal condemnations, or unwanted third-party intervention attempts, jeopardizing long-term Client objectives (Phase 5/6).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Implemented &amp; Recommended Mitigation Strategies:**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**Enhanced OPSEC Enforcement (SO/CO Lead):** Strict adherence to sterile appearance protocols (no VSI insignia/identifiers) for all embedded personnel is mandatory. Comms discipline reinforced; use of Client-provided secure channels only. Equipment sanitization protocols verified pre-deployment.</w:t>
      </w:r>
    </w:p>
    <w:p w:rsidR="00000000" w:rsidDel="00000000" w:rsidP="00000000" w:rsidRDefault="00000000" w:rsidRPr="00000000" w14:paraId="00000017">
      <w:pPr>
        <w:rPr/>
      </w:pPr>
      <w:r w:rsidDel="00000000" w:rsidR="00000000" w:rsidRPr="00000000">
        <w:rPr>
          <w:rtl w:val="0"/>
        </w:rPr>
        <w:t xml:space="preserve">* **Legal &amp; Compliance Readiness (Dir-L&amp;C Lead):** Legal teams placed on heightened alert status. Pre-drafted responses for potential public exposure scenarios reviewed. Plausible deniability frameworks (Ref: MLD StratPlan Sec 5) reinforced with updated talking points.</w:t>
      </w:r>
    </w:p>
    <w:p w:rsidR="00000000" w:rsidDel="00000000" w:rsidP="00000000" w:rsidRDefault="00000000" w:rsidRPr="00000000" w14:paraId="00000018">
      <w:pPr>
        <w:rPr/>
      </w:pPr>
      <w:r w:rsidDel="00000000" w:rsidR="00000000" w:rsidRPr="00000000">
        <w:rPr>
          <w:rtl w:val="0"/>
        </w:rPr>
        <w:t xml:space="preserve">* **Command Structure Integration (SO/CO Lead):** Placement of VSI advisors/operators within proxy force command nodes finalized. Reporting lines clarified. Authority protocols for critical decisions (e.g., adherence to Rules of Engagement, target selection) re-emphasized.</w:t>
      </w:r>
    </w:p>
    <w:p w:rsidR="00000000" w:rsidDel="00000000" w:rsidP="00000000" w:rsidRDefault="00000000" w:rsidRPr="00000000" w14:paraId="00000019">
      <w:pPr>
        <w:rPr/>
      </w:pPr>
      <w:r w:rsidDel="00000000" w:rsidR="00000000" w:rsidRPr="00000000">
        <w:rPr>
          <w:rtl w:val="0"/>
        </w:rPr>
        <w:t xml:space="preserve">* **Intensified Asset Monitoring (Intel Ops Lead):** Increased HUMINT and SIGINT focus on key proxy leadership figures to detect early signs of operational divergence or political ambition counter to Client interests.</w:t>
      </w:r>
    </w:p>
    <w:p w:rsidR="00000000" w:rsidDel="00000000" w:rsidP="00000000" w:rsidRDefault="00000000" w:rsidRPr="00000000" w14:paraId="0000001A">
      <w:pPr>
        <w:rPr/>
      </w:pPr>
      <w:r w:rsidDel="00000000" w:rsidR="00000000" w:rsidRPr="00000000">
        <w:rPr>
          <w:rtl w:val="0"/>
        </w:rPr>
        <w:t xml:space="preserve">* **PsyOps Pre-Positioning (Intel Ops Lead):** Narrative campaigns prepared for immediate dissemination via controlled media channels (Ref: Project Nightingale/Bluebird) to frame the initiation of hostilities, justify actions, and counter anticipated Ottawa/international narratives. Specific campaigns designed to attribute potential atrocities to "rogue elements" or "desperate federal forces."</w:t>
      </w:r>
    </w:p>
    <w:p w:rsidR="00000000" w:rsidDel="00000000" w:rsidP="00000000" w:rsidRDefault="00000000" w:rsidRPr="00000000" w14:paraId="0000001B">
      <w:pPr>
        <w:rPr/>
      </w:pPr>
      <w:r w:rsidDel="00000000" w:rsidR="00000000" w:rsidRPr="00000000">
        <w:rPr>
          <w:rtl w:val="0"/>
        </w:rPr>
        <w:t xml:space="preserve">* **Contingency Activation Authority:** Requesting pre-authorization to activate **Contingency Protocol NIGHTJAR** (Scapegoat Identification &amp; Isolation Plan - Ref: MLD RiskMitigation_Annex C) should key proxy elements become uncontrollable or threaten mission integrity/Client deniability.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Summary:**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transition to Phase 4 represents the highest-risk period for MLD to date. While confident in our planning and preparations, vigilance and rapid response capability across all VSI divisions involved are critical. Recommend immediate approval for Contingency Protocol NIGHTJAR pre-authorization.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**MLD PROJECT DIRECTOR**</w:t>
      </w:r>
    </w:p>
    <w:p w:rsidR="00000000" w:rsidDel="00000000" w:rsidP="00000000" w:rsidRDefault="00000000" w:rsidRPr="00000000" w14:paraId="00000022">
      <w:pPr>
        <w:rPr/>
      </w:pPr>
      <w:r w:rsidDel="00000000" w:rsidR="00000000" w:rsidRPr="00000000">
        <w:rPr>
          <w:rtl w:val="0"/>
        </w:rPr>
        <w:t xml:space="preserve">Vespucci Solutions International</w:t>
      </w:r>
    </w:p>
    <w:p w:rsidR="00000000" w:rsidDel="00000000" w:rsidP="00000000" w:rsidRDefault="00000000" w:rsidRPr="00000000" w14:paraId="00000023">
      <w:pPr>
        <w:rPr/>
      </w:pPr>
      <w:r w:rsidDel="00000000" w:rsidR="00000000" w:rsidRPr="00000000">
        <w:rPr>
          <w:rtl w:val="0"/>
        </w:rPr>
        <w:t xml:space="preserve">*Maximizing Advantage*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*This communication contains information classified MAXIMUM SENSITIVITY (VSI/GOV-SVC/LVL 5). Access is strictly limited. Unauthorized disclosure will result in immediate termination and potential prosecution.*</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