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B1C77" w14:textId="77777777" w:rsidR="007C1A57" w:rsidRDefault="007C1A57" w:rsidP="007C1A57">
      <w:pPr>
        <w:rPr>
          <w:rFonts w:ascii="Open Sans" w:hAnsi="Open Sans" w:cs="Open Sans"/>
        </w:rPr>
      </w:pPr>
    </w:p>
    <w:p w14:paraId="31FB1C78" w14:textId="6157184A" w:rsidR="007C1A57" w:rsidRDefault="00B246CC" w:rsidP="007C1A57">
      <w:pPr>
        <w:pStyle w:val="NoSpacing"/>
        <w:rPr>
          <w:rFonts w:ascii="Open Sans" w:hAnsi="Open Sans" w:cs="Open Sans"/>
          <w:sz w:val="52"/>
          <w:szCs w:val="52"/>
        </w:rPr>
      </w:pPr>
      <w:r>
        <w:rPr>
          <w:rFonts w:ascii="Open Sans" w:hAnsi="Open Sans" w:cs="Open Sans"/>
          <w:noProof/>
          <w:sz w:val="52"/>
          <w:szCs w:val="52"/>
        </w:rPr>
        <w:drawing>
          <wp:inline distT="0" distB="0" distL="0" distR="0" wp14:anchorId="654BAC17" wp14:editId="036CE31A">
            <wp:extent cx="1242060" cy="98247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pyramid-orange-grey-not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5251" cy="985000"/>
                    </a:xfrm>
                    <a:prstGeom prst="rect">
                      <a:avLst/>
                    </a:prstGeom>
                  </pic:spPr>
                </pic:pic>
              </a:graphicData>
            </a:graphic>
          </wp:inline>
        </w:drawing>
      </w:r>
    </w:p>
    <w:p w14:paraId="31FB1C79" w14:textId="77777777" w:rsidR="007C1A57" w:rsidRDefault="007C1A57" w:rsidP="007C1A57">
      <w:pPr>
        <w:pStyle w:val="NoSpacing"/>
        <w:rPr>
          <w:rFonts w:ascii="Open Sans" w:hAnsi="Open Sans" w:cs="Open Sans"/>
          <w:sz w:val="52"/>
          <w:szCs w:val="52"/>
        </w:rPr>
      </w:pPr>
    </w:p>
    <w:p w14:paraId="31FB1C7A" w14:textId="77777777" w:rsidR="007C1A57" w:rsidRDefault="007C1A57" w:rsidP="007C1A57">
      <w:pPr>
        <w:pStyle w:val="NoSpacing"/>
        <w:rPr>
          <w:rFonts w:ascii="Open Sans" w:hAnsi="Open Sans" w:cs="Open Sans"/>
          <w:sz w:val="52"/>
          <w:szCs w:val="52"/>
        </w:rPr>
      </w:pPr>
    </w:p>
    <w:p w14:paraId="57713686" w14:textId="77777777" w:rsidR="009C5225" w:rsidRDefault="009C5225" w:rsidP="000F70EE">
      <w:pPr>
        <w:pStyle w:val="NoSpacing"/>
        <w:jc w:val="right"/>
        <w:rPr>
          <w:rFonts w:ascii="Open Sans" w:hAnsi="Open Sans" w:cs="Open Sans"/>
          <w:sz w:val="52"/>
          <w:szCs w:val="52"/>
        </w:rPr>
      </w:pPr>
    </w:p>
    <w:p w14:paraId="61C5EFAF" w14:textId="77777777" w:rsidR="009C5225" w:rsidRDefault="009C5225" w:rsidP="000F70EE">
      <w:pPr>
        <w:pStyle w:val="NoSpacing"/>
        <w:jc w:val="right"/>
        <w:rPr>
          <w:rFonts w:ascii="Open Sans" w:hAnsi="Open Sans" w:cs="Open Sans"/>
          <w:sz w:val="52"/>
          <w:szCs w:val="52"/>
        </w:rPr>
      </w:pPr>
    </w:p>
    <w:p w14:paraId="24461BB8" w14:textId="6C22D9D0" w:rsidR="000D2361" w:rsidRDefault="000D2361" w:rsidP="000F70EE">
      <w:pPr>
        <w:pStyle w:val="NoSpacing"/>
        <w:jc w:val="right"/>
        <w:rPr>
          <w:rFonts w:ascii="Open Sans" w:hAnsi="Open Sans" w:cs="Open Sans"/>
          <w:sz w:val="52"/>
          <w:szCs w:val="52"/>
        </w:rPr>
      </w:pPr>
    </w:p>
    <w:p w14:paraId="714CA22F" w14:textId="76C7E822" w:rsidR="000D2361" w:rsidRDefault="000D2361" w:rsidP="00B246CC">
      <w:pPr>
        <w:pStyle w:val="NoSpacing"/>
        <w:jc w:val="right"/>
        <w:rPr>
          <w:rFonts w:ascii="Open Sans" w:hAnsi="Open Sans" w:cs="Open Sans"/>
          <w:b/>
          <w:sz w:val="32"/>
          <w:szCs w:val="32"/>
        </w:rPr>
      </w:pPr>
    </w:p>
    <w:p w14:paraId="31FB1C7E" w14:textId="260AFF4F" w:rsidR="007C1A57" w:rsidRPr="000F70EE" w:rsidRDefault="007C1A57" w:rsidP="000D2361">
      <w:pPr>
        <w:pStyle w:val="NoSpacing"/>
        <w:jc w:val="right"/>
        <w:rPr>
          <w:rFonts w:ascii="Open Sans" w:hAnsi="Open Sans" w:cs="Open Sans"/>
          <w:color w:val="595959" w:themeColor="text1" w:themeTint="A6"/>
          <w:sz w:val="28"/>
          <w:szCs w:val="28"/>
        </w:rPr>
      </w:pPr>
    </w:p>
    <w:p w14:paraId="31FB1C80" w14:textId="7A31D7A8" w:rsidR="00E13D70" w:rsidRDefault="005349CB" w:rsidP="64ADB5D7">
      <w:pPr>
        <w:pStyle w:val="NoSpacing"/>
        <w:jc w:val="right"/>
        <w:rPr>
          <w:rFonts w:ascii="Open Sans" w:eastAsia="Open Sans" w:hAnsi="Open Sans" w:cs="Open Sans"/>
          <w:color w:val="595959" w:themeColor="text1" w:themeTint="A6"/>
          <w:sz w:val="32"/>
          <w:szCs w:val="32"/>
        </w:rPr>
      </w:pPr>
      <w:r>
        <w:rPr>
          <w:rFonts w:ascii="Open Sans" w:eastAsia="Open Sans" w:hAnsi="Open Sans" w:cs="Open Sans"/>
          <w:color w:val="595959" w:themeColor="text1" w:themeTint="A6"/>
          <w:sz w:val="32"/>
          <w:szCs w:val="32"/>
        </w:rPr>
        <w:t xml:space="preserve"> jBASE for Multi-tenancy</w:t>
      </w:r>
    </w:p>
    <w:p w14:paraId="2EDD7FA9" w14:textId="74AFD0A7" w:rsidR="00AD7CA7" w:rsidRPr="000F70EE" w:rsidRDefault="00AD7CA7" w:rsidP="64ADB5D7">
      <w:pPr>
        <w:pStyle w:val="NoSpacing"/>
        <w:jc w:val="right"/>
        <w:rPr>
          <w:rFonts w:ascii="Open Sans" w:eastAsia="Open Sans" w:hAnsi="Open Sans" w:cs="Open Sans"/>
          <w:color w:val="595959" w:themeColor="text1" w:themeTint="A6"/>
          <w:sz w:val="32"/>
          <w:szCs w:val="32"/>
        </w:rPr>
      </w:pPr>
      <w:r>
        <w:rPr>
          <w:rFonts w:ascii="Open Sans" w:eastAsia="Open Sans" w:hAnsi="Open Sans" w:cs="Open Sans"/>
          <w:color w:val="595959" w:themeColor="text1" w:themeTint="A6"/>
          <w:sz w:val="32"/>
          <w:szCs w:val="32"/>
        </w:rPr>
        <w:t>(Preliminary Document)</w:t>
      </w:r>
    </w:p>
    <w:p w14:paraId="31FB1C81" w14:textId="01BDE722" w:rsidR="007C1A57" w:rsidRPr="000F70EE" w:rsidRDefault="007C1A57" w:rsidP="000D2361">
      <w:pPr>
        <w:pStyle w:val="NoSpacing"/>
        <w:jc w:val="right"/>
        <w:rPr>
          <w:rFonts w:ascii="Open Sans" w:hAnsi="Open Sans" w:cs="Open Sans"/>
          <w:color w:val="A6A6A6" w:themeColor="background1" w:themeShade="A6"/>
          <w:sz w:val="32"/>
          <w:szCs w:val="32"/>
        </w:rPr>
      </w:pPr>
    </w:p>
    <w:p w14:paraId="31FB1C82" w14:textId="77777777" w:rsidR="007C1A57" w:rsidRPr="002A6032" w:rsidRDefault="007C1A57" w:rsidP="007C1A57">
      <w:pPr>
        <w:rPr>
          <w:rFonts w:ascii="Open Sans" w:hAnsi="Open Sans" w:cs="Open Sans"/>
        </w:rPr>
      </w:pPr>
    </w:p>
    <w:tbl>
      <w:tblPr>
        <w:tblW w:w="5000" w:type="pct"/>
        <w:tblCellMar>
          <w:left w:w="10" w:type="dxa"/>
          <w:right w:w="10" w:type="dxa"/>
        </w:tblCellMar>
        <w:tblLook w:val="0000" w:firstRow="0" w:lastRow="0" w:firstColumn="0" w:lastColumn="0" w:noHBand="0" w:noVBand="0"/>
      </w:tblPr>
      <w:tblGrid>
        <w:gridCol w:w="4680"/>
        <w:gridCol w:w="4680"/>
      </w:tblGrid>
      <w:tr w:rsidR="00991D8F" w:rsidRPr="002A6032" w14:paraId="31FB1C87" w14:textId="77777777" w:rsidTr="64ADB5D7">
        <w:trPr>
          <w:trHeight w:val="732"/>
        </w:trPr>
        <w:tc>
          <w:tcPr>
            <w:tcW w:w="4680" w:type="dxa"/>
            <w:tcBorders>
              <w:top w:val="single" w:sz="4" w:space="0" w:color="6A2045"/>
              <w:bottom w:val="single" w:sz="4" w:space="0" w:color="6A2045"/>
            </w:tcBorders>
            <w:shd w:val="clear" w:color="auto" w:fill="auto"/>
            <w:tcMar>
              <w:top w:w="216" w:type="dxa"/>
              <w:left w:w="216" w:type="dxa"/>
              <w:bottom w:w="216" w:type="dxa"/>
              <w:right w:w="216" w:type="dxa"/>
            </w:tcMar>
          </w:tcPr>
          <w:p w14:paraId="31BCB83C" w14:textId="4C1FFE02" w:rsidR="00991D8F" w:rsidRPr="00FD0B1D" w:rsidRDefault="64ADB5D7" w:rsidP="64ADB5D7">
            <w:pPr>
              <w:pStyle w:val="NoSpacing"/>
              <w:spacing w:line="276" w:lineRule="auto"/>
              <w:rPr>
                <w:rFonts w:ascii="Open Sans" w:eastAsia="Open Sans" w:hAnsi="Open Sans" w:cs="Open Sans"/>
                <w:b/>
                <w:bCs/>
                <w:sz w:val="20"/>
                <w:szCs w:val="20"/>
              </w:rPr>
            </w:pPr>
            <w:r w:rsidRPr="64ADB5D7">
              <w:rPr>
                <w:rFonts w:ascii="Open Sans" w:eastAsia="Open Sans" w:hAnsi="Open Sans" w:cs="Open Sans"/>
                <w:b/>
                <w:bCs/>
                <w:sz w:val="20"/>
                <w:szCs w:val="20"/>
              </w:rPr>
              <w:t>Bruce Decker</w:t>
            </w:r>
          </w:p>
          <w:p w14:paraId="2FF49749" w14:textId="77777777" w:rsidR="00991D8F" w:rsidRPr="00FD0B1D" w:rsidRDefault="64ADB5D7" w:rsidP="64ADB5D7">
            <w:pPr>
              <w:pStyle w:val="NoSpacing"/>
              <w:spacing w:line="276" w:lineRule="auto"/>
              <w:rPr>
                <w:rFonts w:ascii="Open Sans" w:eastAsia="Open Sans" w:hAnsi="Open Sans" w:cs="Open Sans"/>
                <w:sz w:val="20"/>
                <w:szCs w:val="20"/>
              </w:rPr>
            </w:pPr>
            <w:r w:rsidRPr="64ADB5D7">
              <w:rPr>
                <w:rFonts w:ascii="Open Sans" w:eastAsia="Open Sans" w:hAnsi="Open Sans" w:cs="Open Sans"/>
                <w:sz w:val="20"/>
                <w:szCs w:val="20"/>
              </w:rPr>
              <w:t>Senior Solutions Consultant, Zumasys</w:t>
            </w:r>
            <w:r w:rsidR="00991D8F">
              <w:br/>
            </w:r>
            <w:hyperlink r:id="rId12">
              <w:r w:rsidRPr="64ADB5D7">
                <w:rPr>
                  <w:rStyle w:val="Hyperlink"/>
                  <w:rFonts w:ascii="Open Sans" w:eastAsia="Open Sans" w:hAnsi="Open Sans" w:cs="Open Sans"/>
                  <w:sz w:val="20"/>
                  <w:szCs w:val="20"/>
                </w:rPr>
                <w:t>bruced@zumasys.com</w:t>
              </w:r>
            </w:hyperlink>
            <w:r w:rsidRPr="64ADB5D7">
              <w:rPr>
                <w:rFonts w:ascii="Open Sans" w:eastAsia="Open Sans" w:hAnsi="Open Sans" w:cs="Open Sans"/>
                <w:sz w:val="20"/>
                <w:szCs w:val="20"/>
              </w:rPr>
              <w:t xml:space="preserve">  </w:t>
            </w:r>
            <w:r w:rsidR="00991D8F">
              <w:br/>
            </w:r>
            <w:r w:rsidRPr="64ADB5D7">
              <w:rPr>
                <w:rFonts w:ascii="Open Sans" w:eastAsia="Open Sans" w:hAnsi="Open Sans" w:cs="Open Sans"/>
                <w:sz w:val="20"/>
                <w:szCs w:val="20"/>
              </w:rPr>
              <w:t>949-334-0385</w:t>
            </w:r>
          </w:p>
          <w:p w14:paraId="31FB1C85" w14:textId="26053C91" w:rsidR="00991D8F" w:rsidRPr="00FD0B1D" w:rsidRDefault="00991D8F" w:rsidP="00991D8F">
            <w:pPr>
              <w:pStyle w:val="NoSpacing"/>
              <w:spacing w:line="276" w:lineRule="auto"/>
              <w:rPr>
                <w:rFonts w:ascii="Open Sans" w:hAnsi="Open Sans" w:cs="Open Sans"/>
                <w:sz w:val="20"/>
                <w:szCs w:val="20"/>
              </w:rPr>
            </w:pPr>
          </w:p>
        </w:tc>
        <w:tc>
          <w:tcPr>
            <w:tcW w:w="4680" w:type="dxa"/>
            <w:tcBorders>
              <w:top w:val="single" w:sz="4" w:space="0" w:color="6A2045"/>
              <w:bottom w:val="single" w:sz="4" w:space="0" w:color="6A2045"/>
            </w:tcBorders>
            <w:shd w:val="clear" w:color="auto" w:fill="auto"/>
            <w:tcMar>
              <w:top w:w="216" w:type="dxa"/>
              <w:left w:w="216" w:type="dxa"/>
              <w:bottom w:w="216" w:type="dxa"/>
              <w:right w:w="216" w:type="dxa"/>
            </w:tcMar>
          </w:tcPr>
          <w:p w14:paraId="0497995B" w14:textId="77777777" w:rsidR="00A13A7D" w:rsidRPr="00A13A7D" w:rsidRDefault="64ADB5D7" w:rsidP="64ADB5D7">
            <w:pPr>
              <w:pStyle w:val="NoSpacing"/>
              <w:spacing w:line="276" w:lineRule="auto"/>
              <w:rPr>
                <w:rFonts w:ascii="Open Sans" w:eastAsia="Open Sans" w:hAnsi="Open Sans" w:cs="Open Sans"/>
                <w:b/>
                <w:bCs/>
                <w:sz w:val="20"/>
                <w:szCs w:val="20"/>
              </w:rPr>
            </w:pPr>
            <w:r w:rsidRPr="64ADB5D7">
              <w:rPr>
                <w:rFonts w:ascii="Open Sans" w:eastAsia="Open Sans" w:hAnsi="Open Sans" w:cs="Open Sans"/>
                <w:b/>
                <w:bCs/>
                <w:sz w:val="20"/>
                <w:szCs w:val="20"/>
              </w:rPr>
              <w:t>Patrick Payne</w:t>
            </w:r>
          </w:p>
          <w:p w14:paraId="31FB1C86" w14:textId="7013A0DB" w:rsidR="009C5225" w:rsidRPr="009C5225" w:rsidRDefault="64ADB5D7" w:rsidP="64ADB5D7">
            <w:pPr>
              <w:pStyle w:val="NoSpacing"/>
              <w:spacing w:line="276" w:lineRule="auto"/>
              <w:rPr>
                <w:rFonts w:ascii="Open Sans" w:eastAsia="Open Sans" w:hAnsi="Open Sans" w:cs="Open Sans"/>
                <w:sz w:val="20"/>
                <w:szCs w:val="20"/>
              </w:rPr>
            </w:pPr>
            <w:r w:rsidRPr="64ADB5D7">
              <w:rPr>
                <w:rFonts w:ascii="Open Sans" w:eastAsia="Open Sans" w:hAnsi="Open Sans" w:cs="Open Sans"/>
                <w:sz w:val="20"/>
                <w:szCs w:val="20"/>
              </w:rPr>
              <w:t>Chief UI Architect and Software Visionary</w:t>
            </w:r>
            <w:r w:rsidR="00A13A7D">
              <w:br/>
            </w:r>
          </w:p>
        </w:tc>
      </w:tr>
      <w:tr w:rsidR="00991D8F" w:rsidRPr="002A6032" w14:paraId="31FB1C8E" w14:textId="77777777" w:rsidTr="64ADB5D7">
        <w:tc>
          <w:tcPr>
            <w:tcW w:w="4680" w:type="dxa"/>
            <w:tcBorders>
              <w:top w:val="single" w:sz="4" w:space="0" w:color="6A2045"/>
            </w:tcBorders>
            <w:shd w:val="clear" w:color="auto" w:fill="auto"/>
            <w:tcMar>
              <w:top w:w="216" w:type="dxa"/>
              <w:left w:w="216" w:type="dxa"/>
              <w:bottom w:w="216" w:type="dxa"/>
              <w:right w:w="216" w:type="dxa"/>
            </w:tcMar>
          </w:tcPr>
          <w:p w14:paraId="31FB1C8C" w14:textId="60F0C0A9" w:rsidR="00991D8F" w:rsidRPr="00FD0B1D" w:rsidRDefault="00991D8F" w:rsidP="00991D8F">
            <w:pPr>
              <w:pStyle w:val="NoSpacing"/>
              <w:spacing w:line="276" w:lineRule="auto"/>
              <w:rPr>
                <w:rFonts w:ascii="Open Sans" w:hAnsi="Open Sans" w:cs="Open Sans"/>
                <w:sz w:val="20"/>
                <w:szCs w:val="20"/>
              </w:rPr>
            </w:pPr>
          </w:p>
        </w:tc>
        <w:tc>
          <w:tcPr>
            <w:tcW w:w="4680" w:type="dxa"/>
            <w:tcBorders>
              <w:top w:val="single" w:sz="4" w:space="0" w:color="6A2045"/>
            </w:tcBorders>
            <w:shd w:val="clear" w:color="auto" w:fill="auto"/>
            <w:tcMar>
              <w:top w:w="216" w:type="dxa"/>
              <w:left w:w="216" w:type="dxa"/>
              <w:bottom w:w="216" w:type="dxa"/>
              <w:right w:w="216" w:type="dxa"/>
            </w:tcMar>
          </w:tcPr>
          <w:p w14:paraId="2371A4AC" w14:textId="77777777" w:rsidR="00991D8F" w:rsidRPr="000D2361" w:rsidRDefault="64ADB5D7" w:rsidP="64ADB5D7">
            <w:pPr>
              <w:pStyle w:val="NoSpacing"/>
              <w:spacing w:line="276" w:lineRule="auto"/>
              <w:rPr>
                <w:rFonts w:ascii="Open Sans" w:eastAsia="Open Sans" w:hAnsi="Open Sans" w:cs="Open Sans"/>
                <w:b/>
                <w:bCs/>
                <w:sz w:val="20"/>
                <w:szCs w:val="20"/>
              </w:rPr>
            </w:pPr>
            <w:r w:rsidRPr="64ADB5D7">
              <w:rPr>
                <w:rFonts w:ascii="Open Sans" w:eastAsia="Open Sans" w:hAnsi="Open Sans" w:cs="Open Sans"/>
                <w:b/>
                <w:bCs/>
                <w:sz w:val="20"/>
                <w:szCs w:val="20"/>
              </w:rPr>
              <w:t>Zumasys, Inc.</w:t>
            </w:r>
          </w:p>
          <w:p w14:paraId="59C71933" w14:textId="77FD8C2A" w:rsidR="00991D8F" w:rsidRPr="00FD0B1D" w:rsidRDefault="00C836BF" w:rsidP="64ADB5D7">
            <w:pPr>
              <w:pStyle w:val="NoSpacing"/>
              <w:spacing w:line="276" w:lineRule="auto"/>
              <w:rPr>
                <w:rFonts w:ascii="Open Sans" w:eastAsia="Open Sans" w:hAnsi="Open Sans" w:cs="Open Sans"/>
                <w:sz w:val="20"/>
                <w:szCs w:val="20"/>
              </w:rPr>
            </w:pPr>
            <w:r>
              <w:rPr>
                <w:rFonts w:ascii="Open Sans" w:eastAsia="Open Sans" w:hAnsi="Open Sans" w:cs="Open Sans"/>
                <w:sz w:val="20"/>
                <w:szCs w:val="20"/>
              </w:rPr>
              <w:t xml:space="preserve">1050 Calle </w:t>
            </w:r>
            <w:proofErr w:type="spellStart"/>
            <w:r>
              <w:rPr>
                <w:rFonts w:ascii="Open Sans" w:eastAsia="Open Sans" w:hAnsi="Open Sans" w:cs="Open Sans"/>
                <w:sz w:val="20"/>
                <w:szCs w:val="20"/>
              </w:rPr>
              <w:t>Amanecer</w:t>
            </w:r>
            <w:proofErr w:type="spellEnd"/>
            <w:r>
              <w:rPr>
                <w:rFonts w:ascii="Open Sans" w:eastAsia="Open Sans" w:hAnsi="Open Sans" w:cs="Open Sans"/>
                <w:sz w:val="20"/>
                <w:szCs w:val="20"/>
              </w:rPr>
              <w:t>, Suite A</w:t>
            </w:r>
          </w:p>
          <w:p w14:paraId="461E94A4" w14:textId="0BA7C2E7" w:rsidR="00991D8F" w:rsidRPr="00FD0B1D" w:rsidRDefault="00C836BF" w:rsidP="64ADB5D7">
            <w:pPr>
              <w:pStyle w:val="NoSpacing"/>
              <w:spacing w:line="276" w:lineRule="auto"/>
              <w:rPr>
                <w:rFonts w:ascii="Open Sans" w:eastAsia="Open Sans" w:hAnsi="Open Sans" w:cs="Open Sans"/>
                <w:sz w:val="20"/>
                <w:szCs w:val="20"/>
              </w:rPr>
            </w:pPr>
            <w:r>
              <w:rPr>
                <w:rFonts w:ascii="Open Sans" w:eastAsia="Open Sans" w:hAnsi="Open Sans" w:cs="Open Sans"/>
                <w:sz w:val="20"/>
                <w:szCs w:val="20"/>
              </w:rPr>
              <w:t>San Clemente, CA  92673</w:t>
            </w:r>
          </w:p>
          <w:p w14:paraId="1E392CA0" w14:textId="485A46D8" w:rsidR="00991D8F" w:rsidRPr="00FD0B1D" w:rsidRDefault="64ADB5D7" w:rsidP="64ADB5D7">
            <w:pPr>
              <w:pStyle w:val="NoSpacing"/>
              <w:spacing w:line="276" w:lineRule="auto"/>
              <w:rPr>
                <w:rFonts w:ascii="Open Sans" w:eastAsia="Open Sans" w:hAnsi="Open Sans" w:cs="Open Sans"/>
                <w:sz w:val="20"/>
                <w:szCs w:val="20"/>
              </w:rPr>
            </w:pPr>
            <w:r w:rsidRPr="64ADB5D7">
              <w:rPr>
                <w:rFonts w:ascii="Open Sans" w:eastAsia="Open Sans" w:hAnsi="Open Sans" w:cs="Open Sans"/>
                <w:sz w:val="20"/>
                <w:szCs w:val="20"/>
              </w:rPr>
              <w:t xml:space="preserve">T: </w:t>
            </w:r>
            <w:r w:rsidR="00C836BF">
              <w:rPr>
                <w:rFonts w:ascii="Open Sans" w:eastAsia="Open Sans" w:hAnsi="Open Sans" w:cs="Open Sans"/>
                <w:sz w:val="20"/>
                <w:szCs w:val="20"/>
              </w:rPr>
              <w:t>818-951-1891</w:t>
            </w:r>
          </w:p>
          <w:p w14:paraId="31FB1C8D" w14:textId="4A5CAFF9" w:rsidR="00991D8F" w:rsidRPr="002A6032" w:rsidRDefault="00991D8F" w:rsidP="64ADB5D7">
            <w:pPr>
              <w:pStyle w:val="NoSpacing"/>
              <w:rPr>
                <w:rFonts w:ascii="Open Sans" w:eastAsia="Open Sans" w:hAnsi="Open Sans" w:cs="Open Sans"/>
                <w:sz w:val="36"/>
                <w:szCs w:val="36"/>
              </w:rPr>
            </w:pPr>
          </w:p>
        </w:tc>
      </w:tr>
    </w:tbl>
    <w:p w14:paraId="2B2A56A9" w14:textId="2079B013" w:rsidR="000D2361" w:rsidRPr="00E00493" w:rsidRDefault="007C1A57" w:rsidP="00E00493">
      <w:pPr>
        <w:spacing w:after="160" w:line="259" w:lineRule="auto"/>
      </w:pPr>
      <w:r>
        <w:br w:type="page"/>
      </w:r>
    </w:p>
    <w:p w14:paraId="4DB583FC" w14:textId="439AB0A9" w:rsidR="00F915EC" w:rsidRDefault="004D537D" w:rsidP="004D537D">
      <w:pPr>
        <w:pStyle w:val="Heading1"/>
      </w:pPr>
      <w:bookmarkStart w:id="0" w:name="_Toc521419267"/>
      <w:r>
        <w:lastRenderedPageBreak/>
        <w:t>Introduction</w:t>
      </w:r>
      <w:bookmarkEnd w:id="0"/>
    </w:p>
    <w:p w14:paraId="4C104438" w14:textId="3CC72E69" w:rsidR="004D537D" w:rsidRDefault="004D537D" w:rsidP="004D537D">
      <w:r>
        <w:t>The term “software multitenancy” refers to a software architecture in which a single instance of software runs on a server and serves multiple tenants.  A tenant is a group of users who share a common access with specific privileges to the software instance.</w:t>
      </w:r>
    </w:p>
    <w:p w14:paraId="404C4757" w14:textId="49599C3D" w:rsidR="004D537D" w:rsidRDefault="004D537D" w:rsidP="004D537D"/>
    <w:p w14:paraId="0DCB9C84" w14:textId="473EA3EF" w:rsidR="004D537D" w:rsidRDefault="004D537D" w:rsidP="004D537D">
      <w:r>
        <w:t>In this document, we will describe how the concept of software multitenancy is supported by jBASE and how this architecture can be exploited by customers, especially service providers, ISVs and SaaS providers to simplify software deployment and to lower deployment costs.</w:t>
      </w:r>
    </w:p>
    <w:p w14:paraId="095336D9" w14:textId="77777777" w:rsidR="004D537D" w:rsidRDefault="004D537D" w:rsidP="007B24BF">
      <w:pPr>
        <w:pStyle w:val="Heading1"/>
      </w:pPr>
      <w:bookmarkStart w:id="1" w:name="_Toc521419268"/>
      <w:r>
        <w:t>Multitenancy is different than virtualization.</w:t>
      </w:r>
      <w:bookmarkEnd w:id="1"/>
      <w:r>
        <w:t xml:space="preserve">  </w:t>
      </w:r>
    </w:p>
    <w:p w14:paraId="47773290" w14:textId="303056A5" w:rsidR="004D537D" w:rsidRDefault="004D537D" w:rsidP="004D537D">
      <w:r>
        <w:t xml:space="preserve">In a multitenant architecture, multiple customers can share the same application, running on the same operating system, on the same machine with the same data storage mechanism.  The distinction between customers is achieved during application design, </w:t>
      </w:r>
      <w:r w:rsidR="007B24BF">
        <w:t>thus</w:t>
      </w:r>
      <w:r>
        <w:t xml:space="preserve"> customers do not share or see each other’</w:t>
      </w:r>
      <w:r w:rsidR="007B24BF">
        <w:t>s data.  Compare this with virtualization where components are transformed, enabling each customer application to appear to run on a separate virtual machine.</w:t>
      </w:r>
    </w:p>
    <w:p w14:paraId="3DADC63E" w14:textId="25FE4974" w:rsidR="007B24BF" w:rsidRDefault="007B24BF" w:rsidP="007B24BF">
      <w:pPr>
        <w:pStyle w:val="Heading1"/>
      </w:pPr>
      <w:bookmarkStart w:id="2" w:name="_Toc521419269"/>
      <w:r>
        <w:t>Benefits of Multitenancy</w:t>
      </w:r>
      <w:bookmarkEnd w:id="2"/>
    </w:p>
    <w:p w14:paraId="2754B2F8" w14:textId="52210D08" w:rsidR="007B24BF" w:rsidRDefault="007B24BF" w:rsidP="007B24BF">
      <w:pPr>
        <w:pStyle w:val="Heading2"/>
      </w:pPr>
      <w:bookmarkStart w:id="3" w:name="_Toc521419270"/>
      <w:r>
        <w:t>Cost Savings</w:t>
      </w:r>
      <w:bookmarkEnd w:id="3"/>
    </w:p>
    <w:p w14:paraId="58FDC4B2" w14:textId="0F8D006A" w:rsidR="007B24BF" w:rsidRPr="007B24BF" w:rsidRDefault="007B24BF" w:rsidP="007B24BF">
      <w:r>
        <w:t xml:space="preserve">Multitenancy allows for cost savings over and above the basic economies of scale achievable from consolidating IT resources into a single operation. An application instance usually incurs a certain amount of memory and processing overhead which can be substantial when multiplied by many customers, especially if the customers are small. Multitenancy reduces this overhead by amortizing it over many customers. Further cost savings may come from licensing costs of the underlying software (such as operating systems and database management systems). Put crudely, if you can run everything on a single software instance, you only have to buy one </w:t>
      </w:r>
      <w:hyperlink r:id="rId13" w:tooltip="Software license" w:history="1">
        <w:r>
          <w:rPr>
            <w:rStyle w:val="Hyperlink"/>
          </w:rPr>
          <w:t>software license</w:t>
        </w:r>
      </w:hyperlink>
      <w:r>
        <w:t>. The cost savings can be eclipsed by the difficulty of scaling the single instance as demand grows - increasing the performance of the instance on a single server can only be done by buying faster hardware, such as fast CPUs, more memory, and faster disk systems, and typically these costs grow faster than if the load was split between multiple servers with roughly the same aggregate capacity. In addition, development of multitenant systems</w:t>
      </w:r>
      <w:r>
        <w:rPr>
          <w:vertAlign w:val="superscript"/>
        </w:rPr>
        <w:t xml:space="preserve"> </w:t>
      </w:r>
      <w:r>
        <w:t>is more complex, and security testing is more stringent owing to the fact that multiple customers' data may be co-mingled.</w:t>
      </w:r>
    </w:p>
    <w:p w14:paraId="6FDB62CA" w14:textId="57629AE1" w:rsidR="007B24BF" w:rsidRDefault="007B24BF" w:rsidP="004D537D"/>
    <w:p w14:paraId="3728A2F7" w14:textId="0C0AF5C0" w:rsidR="007B24BF" w:rsidRDefault="007B24BF" w:rsidP="007B24BF">
      <w:pPr>
        <w:pStyle w:val="Heading2"/>
      </w:pPr>
      <w:bookmarkStart w:id="4" w:name="_Toc521419271"/>
      <w:r>
        <w:t>Complexity</w:t>
      </w:r>
      <w:bookmarkEnd w:id="4"/>
    </w:p>
    <w:p w14:paraId="7CDCA165" w14:textId="29A3B104" w:rsidR="007B24BF" w:rsidRDefault="007B24BF" w:rsidP="007B24BF">
      <w:r>
        <w:t xml:space="preserve">Because of the additional customization complexity and the need to maintain per-tenant </w:t>
      </w:r>
      <w:hyperlink r:id="rId14" w:tooltip="Metadata" w:history="1">
        <w:r>
          <w:rPr>
            <w:rStyle w:val="Hyperlink"/>
          </w:rPr>
          <w:t>metadata</w:t>
        </w:r>
      </w:hyperlink>
      <w:r>
        <w:t>, multitenant applications may require a larger development effort.</w:t>
      </w:r>
    </w:p>
    <w:p w14:paraId="07CAC133" w14:textId="0862645F" w:rsidR="007B24BF" w:rsidRDefault="007B24BF" w:rsidP="007B24BF"/>
    <w:p w14:paraId="0EEE779A" w14:textId="0E747CE9" w:rsidR="007B24BF" w:rsidRDefault="007B24BF" w:rsidP="007B24BF">
      <w:pPr>
        <w:pStyle w:val="Heading2"/>
      </w:pPr>
      <w:bookmarkStart w:id="5" w:name="_Toc521419272"/>
      <w:r>
        <w:t>Release Management</w:t>
      </w:r>
      <w:bookmarkEnd w:id="5"/>
    </w:p>
    <w:p w14:paraId="3ADEF185" w14:textId="2105529D" w:rsidR="007B24BF" w:rsidRPr="007B24BF" w:rsidRDefault="007B24BF" w:rsidP="007B24BF">
      <w:pPr>
        <w:spacing w:before="100" w:beforeAutospacing="1" w:after="100" w:afterAutospacing="1"/>
        <w:rPr>
          <w:rFonts w:asciiTheme="minorHAnsi" w:eastAsia="Times New Roman" w:hAnsiTheme="minorHAnsi" w:cstheme="minorHAnsi"/>
        </w:rPr>
      </w:pPr>
      <w:r w:rsidRPr="007B24BF">
        <w:rPr>
          <w:rFonts w:asciiTheme="minorHAnsi" w:eastAsia="Times New Roman" w:hAnsiTheme="minorHAnsi" w:cstheme="minorHAnsi"/>
        </w:rPr>
        <w:t xml:space="preserve">Multitenancy simplifies the release management process. In a traditional release management process, packages containing code and database changes are distributed to </w:t>
      </w:r>
      <w:r>
        <w:rPr>
          <w:rFonts w:asciiTheme="minorHAnsi" w:eastAsia="Times New Roman" w:hAnsiTheme="minorHAnsi" w:cstheme="minorHAnsi"/>
        </w:rPr>
        <w:t>the customer’s server(s)</w:t>
      </w:r>
      <w:r w:rsidRPr="007B24BF">
        <w:rPr>
          <w:rFonts w:asciiTheme="minorHAnsi" w:eastAsia="Times New Roman" w:hAnsiTheme="minorHAnsi" w:cstheme="minorHAnsi"/>
        </w:rPr>
        <w:t xml:space="preserve">; in the single-instance case, this would be one server machine per customer. With the multitenant model, the package </w:t>
      </w:r>
      <w:r>
        <w:rPr>
          <w:rFonts w:asciiTheme="minorHAnsi" w:eastAsia="Times New Roman" w:hAnsiTheme="minorHAnsi" w:cstheme="minorHAnsi"/>
        </w:rPr>
        <w:t xml:space="preserve">may be installed on a single server that is shared by multiple customers or tenants.  </w:t>
      </w:r>
      <w:r w:rsidRPr="007B24BF">
        <w:rPr>
          <w:rFonts w:asciiTheme="minorHAnsi" w:eastAsia="Times New Roman" w:hAnsiTheme="minorHAnsi" w:cstheme="minorHAnsi"/>
        </w:rPr>
        <w:t xml:space="preserve"> This greatly </w:t>
      </w:r>
      <w:r w:rsidRPr="007B24BF">
        <w:rPr>
          <w:rFonts w:asciiTheme="minorHAnsi" w:eastAsia="Times New Roman" w:hAnsiTheme="minorHAnsi" w:cstheme="minorHAnsi"/>
        </w:rPr>
        <w:lastRenderedPageBreak/>
        <w:t>simplifies the release management process, and the scale</w:t>
      </w:r>
      <w:r w:rsidR="00C269A6">
        <w:rPr>
          <w:rFonts w:asciiTheme="minorHAnsi" w:eastAsia="Times New Roman" w:hAnsiTheme="minorHAnsi" w:cstheme="minorHAnsi"/>
        </w:rPr>
        <w:t xml:space="preserve"> of effort</w:t>
      </w:r>
      <w:r w:rsidRPr="007B24BF">
        <w:rPr>
          <w:rFonts w:asciiTheme="minorHAnsi" w:eastAsia="Times New Roman" w:hAnsiTheme="minorHAnsi" w:cstheme="minorHAnsi"/>
        </w:rPr>
        <w:t xml:space="preserve"> is no longer dependent on the number of customers. </w:t>
      </w:r>
    </w:p>
    <w:p w14:paraId="25E8A1E1" w14:textId="19BF4887" w:rsidR="007B24BF" w:rsidRDefault="007B24BF" w:rsidP="006823F5">
      <w:pPr>
        <w:spacing w:before="100" w:beforeAutospacing="1" w:after="100" w:afterAutospacing="1"/>
        <w:rPr>
          <w:rFonts w:asciiTheme="minorHAnsi" w:eastAsia="Times New Roman" w:hAnsiTheme="minorHAnsi" w:cstheme="minorHAnsi"/>
        </w:rPr>
      </w:pPr>
      <w:r w:rsidRPr="007B24BF">
        <w:rPr>
          <w:rFonts w:asciiTheme="minorHAnsi" w:eastAsia="Times New Roman" w:hAnsiTheme="minorHAnsi" w:cstheme="minorHAnsi"/>
        </w:rPr>
        <w:t xml:space="preserve">At the same time, multitenancy increases the risks and impacts inherent in applying a new release version. As there is a single software instance serving multiple tenants, an update on this instance may cause downtime for all tenants even if the update is requested and useful for only one tenant. Also, some bugs and issues resulted from applying the new release could manifest in other tenants' personalized view of the application. Because of possible downtime, the moment of applying the release may be restricted depending on time usage schedule of more than one tenant. </w:t>
      </w:r>
    </w:p>
    <w:p w14:paraId="2C6F3670" w14:textId="4D81883C" w:rsidR="006C3FFE" w:rsidRDefault="009D3414" w:rsidP="006C3FFE">
      <w:pPr>
        <w:pStyle w:val="Heading1"/>
      </w:pPr>
      <w:bookmarkStart w:id="6" w:name="_Toc521419273"/>
      <w:r>
        <w:t>Issues o</w:t>
      </w:r>
      <w:r w:rsidR="006823F5">
        <w:t>f Multit</w:t>
      </w:r>
      <w:r>
        <w:t>enancy</w:t>
      </w:r>
      <w:bookmarkEnd w:id="6"/>
    </w:p>
    <w:p w14:paraId="0CEB870B" w14:textId="102807E6" w:rsidR="00FD560E" w:rsidRDefault="006C3FFE" w:rsidP="006C3FFE">
      <w:pPr>
        <w:pStyle w:val="Heading2"/>
      </w:pPr>
      <w:bookmarkStart w:id="7" w:name="_Toc521419274"/>
      <w:r>
        <w:t>Licensing</w:t>
      </w:r>
      <w:bookmarkEnd w:id="7"/>
    </w:p>
    <w:p w14:paraId="5177B1CF" w14:textId="154D0FA2" w:rsidR="006C3FFE" w:rsidRDefault="006C3FFE" w:rsidP="006C3FFE">
      <w:r>
        <w:t>License managers should allow for simplified deployment and management.  Mechanisms should be available to control license consumption in a flexible and simple way to allow the administrator to craft creative license consumption policies that meet the requirements of the business.</w:t>
      </w:r>
    </w:p>
    <w:p w14:paraId="485D8168" w14:textId="62F91683" w:rsidR="006C3FFE" w:rsidRDefault="006C3FFE" w:rsidP="006C3FFE"/>
    <w:p w14:paraId="08E18592" w14:textId="59B30BA3" w:rsidR="00FA1608" w:rsidRDefault="00FA1608" w:rsidP="00FA1608">
      <w:pPr>
        <w:pStyle w:val="Heading2"/>
      </w:pPr>
      <w:bookmarkStart w:id="8" w:name="_Toc521419275"/>
      <w:r>
        <w:t>Account Isolation</w:t>
      </w:r>
      <w:bookmarkEnd w:id="8"/>
    </w:p>
    <w:p w14:paraId="311BEE0F" w14:textId="0B84A8C5" w:rsidR="00FA1608" w:rsidRDefault="00FA1608" w:rsidP="006C3FFE">
      <w:r>
        <w:t>The database environment architecture should allow the isolation of account definitions for one tenant from the account definitions of another to ensure that security is preserved.</w:t>
      </w:r>
    </w:p>
    <w:p w14:paraId="7AB60CAB" w14:textId="3510F565" w:rsidR="00FA1608" w:rsidRDefault="00FA1608" w:rsidP="006C3FFE"/>
    <w:p w14:paraId="3A3B199A" w14:textId="3A9A5FDD" w:rsidR="00FA1608" w:rsidRDefault="00FA1608" w:rsidP="00FA1608">
      <w:pPr>
        <w:pStyle w:val="Heading2"/>
      </w:pPr>
      <w:bookmarkStart w:id="9" w:name="_Toc521419276"/>
      <w:r>
        <w:t>Data Isolation</w:t>
      </w:r>
      <w:bookmarkEnd w:id="9"/>
    </w:p>
    <w:p w14:paraId="66A2E9E6" w14:textId="268E91FB" w:rsidR="00FA1608" w:rsidRPr="006C3FFE" w:rsidRDefault="00FA1608" w:rsidP="00FA1608">
      <w:r>
        <w:t>The database environment should allow separation of tenant</w:t>
      </w:r>
      <w:r w:rsidR="00AD7CA7">
        <w:t>ed</w:t>
      </w:r>
      <w:r>
        <w:t xml:space="preserve"> data areas </w:t>
      </w:r>
      <w:r w:rsidR="003F4DC0">
        <w:t>by</w:t>
      </w:r>
      <w:r>
        <w:t xml:space="preserve"> the use of isolated account definitions and normal operating system permission schemes.</w:t>
      </w:r>
    </w:p>
    <w:p w14:paraId="10E91901" w14:textId="77777777" w:rsidR="006C3FFE" w:rsidRPr="006C3FFE" w:rsidRDefault="006C3FFE" w:rsidP="006C3FFE"/>
    <w:p w14:paraId="145832F3" w14:textId="2C4A9C9B" w:rsidR="00FA1608" w:rsidRDefault="00FA1608" w:rsidP="00FA1608">
      <w:pPr>
        <w:pStyle w:val="Heading2"/>
      </w:pPr>
      <w:bookmarkStart w:id="10" w:name="_Toc521419277"/>
      <w:r>
        <w:t>Spooler Isolation</w:t>
      </w:r>
      <w:bookmarkEnd w:id="10"/>
    </w:p>
    <w:p w14:paraId="16A749B4" w14:textId="1A591C6E" w:rsidR="00FA1608" w:rsidRPr="006C3FFE" w:rsidRDefault="00FA1608" w:rsidP="00FA1608">
      <w:r>
        <w:t>The database environment should allow isolation of tenant spooler operations so that each tenant can define and manage their spooler definitions without exposing their spooler definitions or spooler print jobs to other tenants.</w:t>
      </w:r>
    </w:p>
    <w:p w14:paraId="5DA7057B" w14:textId="6470CDD6" w:rsidR="006C3FFE" w:rsidRDefault="006C3FFE" w:rsidP="00FD560E"/>
    <w:p w14:paraId="56956913" w14:textId="7EFDF474" w:rsidR="00FA1608" w:rsidRDefault="00FA1608" w:rsidP="00FA1608">
      <w:pPr>
        <w:pStyle w:val="Heading2"/>
      </w:pPr>
      <w:bookmarkStart w:id="11" w:name="_Toc521419278"/>
      <w:r>
        <w:t>Port Number Organization</w:t>
      </w:r>
      <w:bookmarkEnd w:id="11"/>
    </w:p>
    <w:p w14:paraId="242F38E3" w14:textId="68BB403A" w:rsidR="009B7974" w:rsidRDefault="00FA1608" w:rsidP="003F4DC0">
      <w:r>
        <w:t>The database environment should allow for the organization of port numbers across the multi-tenanted instance so that users and processes from one tenant can be</w:t>
      </w:r>
      <w:r w:rsidR="009B7974">
        <w:t xml:space="preserve"> grouped and organized together rather than intermingled.  </w:t>
      </w:r>
    </w:p>
    <w:p w14:paraId="7DA470F4" w14:textId="4ABF33B3" w:rsidR="00FA1608" w:rsidRDefault="009B7974" w:rsidP="009B7974">
      <w:pPr>
        <w:pStyle w:val="Heading2"/>
      </w:pPr>
      <w:bookmarkStart w:id="12" w:name="_Toc521419279"/>
      <w:r>
        <w:t>Library Management</w:t>
      </w:r>
      <w:bookmarkEnd w:id="12"/>
    </w:p>
    <w:p w14:paraId="5A5F6803" w14:textId="2A5841A0" w:rsidR="009B7974" w:rsidRDefault="009B7974" w:rsidP="009B7974">
      <w:r>
        <w:t>The database environment should allow for code segments that are shared across all tenants as well as code segments that are specific to a tenant without special object manipulation required when software updates are pushed.</w:t>
      </w:r>
    </w:p>
    <w:p w14:paraId="16DA5099" w14:textId="5052BD45" w:rsidR="009B7974" w:rsidRDefault="009B7974" w:rsidP="009B7974"/>
    <w:p w14:paraId="4393F8E4" w14:textId="3259FA6E" w:rsidR="00222803" w:rsidRDefault="00222803" w:rsidP="009B7974">
      <w:pPr>
        <w:pStyle w:val="Heading1"/>
      </w:pPr>
      <w:bookmarkStart w:id="13" w:name="_Toc521419280"/>
      <w:r>
        <w:lastRenderedPageBreak/>
        <w:t>Approaches to Multitenancy</w:t>
      </w:r>
      <w:bookmarkEnd w:id="13"/>
    </w:p>
    <w:p w14:paraId="54E1C37C" w14:textId="221BAA49" w:rsidR="00487CD8" w:rsidRDefault="00487CD8" w:rsidP="00487CD8">
      <w:pPr>
        <w:pStyle w:val="Heading2"/>
      </w:pPr>
      <w:bookmarkStart w:id="14" w:name="_Toc521419282"/>
      <w:r>
        <w:t>jBASE Dynamic Configuration</w:t>
      </w:r>
      <w:bookmarkEnd w:id="14"/>
    </w:p>
    <w:p w14:paraId="10816563" w14:textId="77777777" w:rsidR="00487CD8" w:rsidRPr="00487CD8" w:rsidRDefault="00487CD8" w:rsidP="00487CD8"/>
    <w:p w14:paraId="1C4C3355" w14:textId="08F6C48A" w:rsidR="00487CD8" w:rsidRDefault="00222803" w:rsidP="00487CD8">
      <w:r>
        <w:t xml:space="preserve">jBASE has a very flexible and powerful series of configuration options that can be deployed to form a simple, yet powerful mechanism </w:t>
      </w:r>
      <w:r w:rsidR="00487CD8">
        <w:t>for tenant isolation.  These include:</w:t>
      </w:r>
    </w:p>
    <w:p w14:paraId="5546FD14" w14:textId="2A51B9A8" w:rsidR="00222803" w:rsidRDefault="00222803" w:rsidP="00487CD8">
      <w:pPr>
        <w:pStyle w:val="Heading3"/>
      </w:pPr>
      <w:bookmarkStart w:id="15" w:name="_Toc521419283"/>
      <w:r>
        <w:t>Environment Variables</w:t>
      </w:r>
      <w:bookmarkEnd w:id="15"/>
    </w:p>
    <w:p w14:paraId="32A9E2C3" w14:textId="7C1BC5CF" w:rsidR="00222803" w:rsidRDefault="00222803" w:rsidP="00222803">
      <w:r>
        <w:t>Environment Variable based definitions are available to most everything except the shared memory segment.  Using this approach environment variables can be used to configure the location of the SYSTEM file, the MD, executable objects and libraries, data file search paths, spooler location and more.</w:t>
      </w:r>
    </w:p>
    <w:p w14:paraId="50808BE9" w14:textId="6E845145" w:rsidR="00222803" w:rsidRDefault="00222803" w:rsidP="00222803"/>
    <w:p w14:paraId="652EA5EC" w14:textId="240A4341" w:rsidR="00222803" w:rsidRDefault="00487CD8" w:rsidP="00222803">
      <w:r>
        <w:t>Environment variables a provide a powerful and flexible way of implementing the definitions require to isolate tenants.  However</w:t>
      </w:r>
      <w:r w:rsidR="00222803">
        <w:t>, it should be noted that environment variables are not immutable, so it is possible for an advanced user to manipulate the environment variable setting to escape isolation.</w:t>
      </w:r>
    </w:p>
    <w:p w14:paraId="2B39985D" w14:textId="77777777" w:rsidR="00C02097" w:rsidRDefault="00C02097" w:rsidP="00984373">
      <w:pPr>
        <w:pStyle w:val="Heading3"/>
      </w:pPr>
      <w:bookmarkStart w:id="16" w:name="_Toc521419287"/>
      <w:bookmarkStart w:id="17" w:name="_Hlk520303459"/>
      <w:bookmarkStart w:id="18" w:name="_Hlk520303484"/>
    </w:p>
    <w:p w14:paraId="1DCFF222" w14:textId="63C8D8FF" w:rsidR="006823F5" w:rsidRDefault="006823F5" w:rsidP="00984373">
      <w:pPr>
        <w:pStyle w:val="Heading3"/>
      </w:pPr>
      <w:r>
        <w:t>jBASE License Allocation</w:t>
      </w:r>
      <w:bookmarkEnd w:id="16"/>
    </w:p>
    <w:p w14:paraId="1526A47A" w14:textId="228541A1" w:rsidR="006823F5" w:rsidRDefault="006823F5" w:rsidP="006823F5">
      <w:r>
        <w:t xml:space="preserve">jBASE provides mechanisms to control the extent to which licenses are consumed in a specific scenario.   It accomplishes this through environment variables and </w:t>
      </w:r>
      <w:r w:rsidR="00BF03C9">
        <w:t>by the use of some license configuration files, or a combination of both.</w:t>
      </w:r>
    </w:p>
    <w:p w14:paraId="6D3388DD" w14:textId="6D167C25" w:rsidR="00BF03C9" w:rsidRDefault="00BF03C9" w:rsidP="006823F5"/>
    <w:p w14:paraId="12A58D02" w14:textId="4F0C1FB8" w:rsidR="00BF03C9" w:rsidRDefault="00BF03C9" w:rsidP="006823F5">
      <w:r>
        <w:t xml:space="preserve">The JBCPORTNO environment variable allows the administrator to define a series of port numbers or port ranges that can be used before the jBASE jshell (jsh) is invoked.   This allows full control of license consumption using virtually any scheme imagined by the administrator including controlling license consumption by </w:t>
      </w:r>
      <w:proofErr w:type="spellStart"/>
      <w:r>
        <w:t>userid</w:t>
      </w:r>
      <w:proofErr w:type="spellEnd"/>
      <w:r>
        <w:t xml:space="preserve">, </w:t>
      </w:r>
      <w:proofErr w:type="spellStart"/>
      <w:r>
        <w:t>groupid</w:t>
      </w:r>
      <w:proofErr w:type="spellEnd"/>
      <w:r>
        <w:t xml:space="preserve"> membership (tenant id), inbound </w:t>
      </w:r>
      <w:proofErr w:type="spellStart"/>
      <w:r>
        <w:t>ip</w:t>
      </w:r>
      <w:proofErr w:type="spellEnd"/>
      <w:r>
        <w:t xml:space="preserve"> address or other administrator defined schemes. </w:t>
      </w:r>
    </w:p>
    <w:p w14:paraId="12D4B047" w14:textId="21999BA1" w:rsidR="00BF03C9" w:rsidRDefault="00BF03C9" w:rsidP="006823F5"/>
    <w:p w14:paraId="1CF444AF" w14:textId="64132531" w:rsidR="00BF03C9" w:rsidRDefault="00BF03C9" w:rsidP="006823F5">
      <w:r>
        <w:t xml:space="preserve">For traditional character-based sessions, the administrator may define rules that govern the consumption of premium multi-session licenses vs. standard single-session licenses.  The environment variable JBC_MULTISESSION </w:t>
      </w:r>
    </w:p>
    <w:p w14:paraId="0FAE790A" w14:textId="11FAFFED" w:rsidR="006823F5" w:rsidRDefault="006823F5" w:rsidP="00984373">
      <w:pPr>
        <w:pStyle w:val="Heading3"/>
      </w:pPr>
    </w:p>
    <w:p w14:paraId="45557D6C" w14:textId="0680A109" w:rsidR="00984373" w:rsidRDefault="00984373" w:rsidP="006823F5">
      <w:pPr>
        <w:pStyle w:val="Heading2"/>
      </w:pPr>
      <w:bookmarkStart w:id="19" w:name="_Toc521419288"/>
      <w:r>
        <w:t>Data Segregation</w:t>
      </w:r>
      <w:bookmarkEnd w:id="19"/>
    </w:p>
    <w:p w14:paraId="15C7CB1F" w14:textId="2CC81CC2" w:rsidR="00843438" w:rsidRDefault="00843438" w:rsidP="00984373">
      <w:bookmarkStart w:id="20" w:name="_Hlk520301979"/>
      <w:bookmarkEnd w:id="17"/>
    </w:p>
    <w:p w14:paraId="13A73C10" w14:textId="49A82A87" w:rsidR="00DC5B70" w:rsidRDefault="00DC5B70" w:rsidP="000A199C">
      <w:pPr>
        <w:pStyle w:val="Heading3"/>
      </w:pPr>
      <w:bookmarkStart w:id="21" w:name="_Toc521419291"/>
      <w:r>
        <w:t xml:space="preserve">jBASE Dynamic </w:t>
      </w:r>
      <w:r w:rsidR="002D2291">
        <w:t xml:space="preserve">System </w:t>
      </w:r>
      <w:r>
        <w:t>Structure</w:t>
      </w:r>
      <w:bookmarkEnd w:id="21"/>
    </w:p>
    <w:p w14:paraId="4AA4ED45" w14:textId="6C2DD7D0" w:rsidR="00DC5B70" w:rsidRDefault="00DC5B70" w:rsidP="00DC5B70">
      <w:r>
        <w:t>The jBASE system is installed at a path on the machine.  However, instead of the account definition file being located with a hard-coded name and location, it can be defined by the environment variable JEDIFILENAME_SYSTEM.  This allows jBASE to support multiple account definition files.   A common use for this in the area of multitenancy is to define a SYSTEM (aka account definition file) for each tenant on the machine.   This allows for clean segregation of accounts since each customer tenant running on the machine may reference their own private SYSTEM file with their own private account definitions.   Additionally, this file can be secured using permissions to prevent access and exploitation by a non-authorized user.</w:t>
      </w:r>
    </w:p>
    <w:p w14:paraId="35BD25B9" w14:textId="345CF80F" w:rsidR="00DC5B70" w:rsidRDefault="00DC5B70" w:rsidP="00DC5B70"/>
    <w:p w14:paraId="6DA526B9" w14:textId="3CB96BAC" w:rsidR="00DC5B70" w:rsidRDefault="00DC5B70" w:rsidP="00DC5B70">
      <w:r>
        <w:lastRenderedPageBreak/>
        <w:t xml:space="preserve">As you can see </w:t>
      </w:r>
      <w:r w:rsidR="00C02097">
        <w:t>below depicting</w:t>
      </w:r>
      <w:r>
        <w:t xml:space="preserve"> jBASE, we have three customer tenants named cust1, cust2 and cust3.  At login, a user</w:t>
      </w:r>
      <w:r w:rsidR="00EE36BB">
        <w:t>’</w:t>
      </w:r>
      <w:r>
        <w:t>s profile will set the environment v</w:t>
      </w:r>
      <w:r w:rsidR="00EE36BB">
        <w:t xml:space="preserve">ariable JEDIFILENAME_SYSTEM to point to the appropriate SYSTEM file for that user based on their company association.   jBASE will then respect that environment variable setting throughout that user’s session.   </w:t>
      </w:r>
    </w:p>
    <w:p w14:paraId="30648A0A" w14:textId="1C107255" w:rsidR="00C02097" w:rsidRDefault="00C02097" w:rsidP="00C02097">
      <w:pPr>
        <w:jc w:val="center"/>
      </w:pPr>
      <w:r>
        <w:rPr>
          <w:noProof/>
        </w:rPr>
        <w:drawing>
          <wp:inline distT="0" distB="0" distL="0" distR="0" wp14:anchorId="3DFEF268" wp14:editId="7F7A8A91">
            <wp:extent cx="3886200" cy="251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616"/>
                    <a:stretch/>
                  </pic:blipFill>
                  <pic:spPr bwMode="auto">
                    <a:xfrm>
                      <a:off x="0" y="0"/>
                      <a:ext cx="3886200" cy="2510155"/>
                    </a:xfrm>
                    <a:prstGeom prst="rect">
                      <a:avLst/>
                    </a:prstGeom>
                    <a:ln>
                      <a:noFill/>
                    </a:ln>
                    <a:extLst>
                      <a:ext uri="{53640926-AAD7-44D8-BBD7-CCE9431645EC}">
                        <a14:shadowObscured xmlns:a14="http://schemas.microsoft.com/office/drawing/2010/main"/>
                      </a:ext>
                    </a:extLst>
                  </pic:spPr>
                </pic:pic>
              </a:graphicData>
            </a:graphic>
          </wp:inline>
        </w:drawing>
      </w:r>
    </w:p>
    <w:p w14:paraId="323FBE6F" w14:textId="52798755" w:rsidR="00EE36BB" w:rsidRDefault="00EE36BB" w:rsidP="00DC5B70"/>
    <w:p w14:paraId="1B49AE02" w14:textId="3E99863B" w:rsidR="00EE36BB" w:rsidRDefault="00EE36BB" w:rsidP="00DC5B70">
      <w:r>
        <w:t xml:space="preserve">Account names that live in one SYSTEM file may also exist in another SYSTEM file.  </w:t>
      </w:r>
      <w:r w:rsidR="00EB502D">
        <w:t>Q-pointers are resolved through</w:t>
      </w:r>
      <w:r>
        <w:t xml:space="preserve"> the same SYSTEM file named by JEDIFILENAME_SYSTEM so there is no danger of one tenant inadvertently Q-pointing to an account outside of their SYSTEM file’s defined accounts.  </w:t>
      </w:r>
    </w:p>
    <w:p w14:paraId="7731BA94" w14:textId="49CFB195" w:rsidR="00EE36BB" w:rsidRDefault="00EE36BB" w:rsidP="00DC5B70"/>
    <w:p w14:paraId="06E51F08" w14:textId="0C80AB0A" w:rsidR="00EE36BB" w:rsidRDefault="00EE36BB" w:rsidP="00DC5B70">
      <w:r>
        <w:t>This design makes it simpler and cleaner to consolidate systems that previously existed on separate servers into a single multiten</w:t>
      </w:r>
      <w:r w:rsidR="008A5097">
        <w:t>ant</w:t>
      </w:r>
      <w:r>
        <w:t xml:space="preserve"> machine without the need to change account names or the Q-pointers that refer to them.</w:t>
      </w:r>
      <w:bookmarkEnd w:id="18"/>
      <w:bookmarkEnd w:id="20"/>
    </w:p>
    <w:p w14:paraId="312E709F" w14:textId="1EBC8200" w:rsidR="00EE36BB" w:rsidRDefault="00EE36BB" w:rsidP="00DC5B70"/>
    <w:p w14:paraId="4C75A793" w14:textId="65654C50" w:rsidR="008A5097" w:rsidRDefault="008A5097" w:rsidP="000A199C">
      <w:pPr>
        <w:pStyle w:val="Heading2"/>
      </w:pPr>
      <w:bookmarkStart w:id="22" w:name="_Toc521419292"/>
      <w:r>
        <w:t xml:space="preserve">Spooler </w:t>
      </w:r>
      <w:r w:rsidR="00FA1608">
        <w:t>Isolation</w:t>
      </w:r>
      <w:bookmarkEnd w:id="22"/>
    </w:p>
    <w:p w14:paraId="3E642C39" w14:textId="24016126" w:rsidR="00984373" w:rsidRDefault="00984373" w:rsidP="00984373"/>
    <w:p w14:paraId="63F8AB7F" w14:textId="668B3A61" w:rsidR="00984373" w:rsidRDefault="00C956A4" w:rsidP="00C956A4">
      <w:pPr>
        <w:pStyle w:val="Heading3"/>
      </w:pPr>
      <w:bookmarkStart w:id="23" w:name="_Toc521419294"/>
      <w:r>
        <w:t>The jBASE</w:t>
      </w:r>
      <w:r w:rsidR="002D2291">
        <w:t xml:space="preserve"> Dynamic</w:t>
      </w:r>
      <w:r>
        <w:t xml:space="preserve"> Spooler</w:t>
      </w:r>
      <w:bookmarkEnd w:id="23"/>
    </w:p>
    <w:p w14:paraId="6A8DABF8" w14:textId="17922C8F" w:rsidR="00C956A4" w:rsidRPr="00984373" w:rsidRDefault="00C956A4" w:rsidP="00984373">
      <w:r>
        <w:t xml:space="preserve">jBASE permits the definition of multiple spoolers that can co-reside on a single server.  The active jBASE spooler may be dynamically assigned by using a simple environment variable. </w:t>
      </w:r>
    </w:p>
    <w:p w14:paraId="44E91495" w14:textId="3CC76ED2" w:rsidR="00740CD4" w:rsidRDefault="00740CD4" w:rsidP="007B24BF"/>
    <w:p w14:paraId="49F34E32" w14:textId="457E6D34" w:rsidR="00740CD4" w:rsidRDefault="00157395" w:rsidP="00C02097">
      <w:pPr>
        <w:jc w:val="center"/>
      </w:pPr>
      <w:r>
        <w:rPr>
          <w:noProof/>
        </w:rPr>
        <w:lastRenderedPageBreak/>
        <w:drawing>
          <wp:inline distT="0" distB="0" distL="0" distR="0" wp14:anchorId="1E302C59" wp14:editId="63AED280">
            <wp:extent cx="3886200" cy="2529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616"/>
                    <a:stretch/>
                  </pic:blipFill>
                  <pic:spPr bwMode="auto">
                    <a:xfrm>
                      <a:off x="0" y="0"/>
                      <a:ext cx="3886200" cy="2529205"/>
                    </a:xfrm>
                    <a:prstGeom prst="rect">
                      <a:avLst/>
                    </a:prstGeom>
                    <a:ln>
                      <a:noFill/>
                    </a:ln>
                    <a:extLst>
                      <a:ext uri="{53640926-AAD7-44D8-BBD7-CCE9431645EC}">
                        <a14:shadowObscured xmlns:a14="http://schemas.microsoft.com/office/drawing/2010/main"/>
                      </a:ext>
                    </a:extLst>
                  </pic:spPr>
                </pic:pic>
              </a:graphicData>
            </a:graphic>
          </wp:inline>
        </w:drawing>
      </w:r>
    </w:p>
    <w:p w14:paraId="65852E74" w14:textId="4153FAE5" w:rsidR="00C956A4" w:rsidRDefault="00C956A4" w:rsidP="007B24BF"/>
    <w:p w14:paraId="27EE097B" w14:textId="6CBFE2E0" w:rsidR="00C956A4" w:rsidRDefault="00C956A4" w:rsidP="00C956A4">
      <w:pPr>
        <w:pStyle w:val="Heading4"/>
      </w:pPr>
      <w:r>
        <w:t>Observations about the jBASE spooler</w:t>
      </w:r>
    </w:p>
    <w:p w14:paraId="2E8B0FE8" w14:textId="36164ED3" w:rsidR="00C956A4" w:rsidRDefault="00C956A4" w:rsidP="00C956A4">
      <w:pPr>
        <w:pStyle w:val="ListParagraph"/>
        <w:numPr>
          <w:ilvl w:val="0"/>
          <w:numId w:val="48"/>
        </w:numPr>
      </w:pPr>
      <w:r>
        <w:t>jBASE allows multiple spoolers to be defined and to be run simultaneously on the same server</w:t>
      </w:r>
    </w:p>
    <w:p w14:paraId="10DAB6D1" w14:textId="46ABA7D8" w:rsidR="00C956A4" w:rsidRDefault="00C956A4" w:rsidP="00C956A4">
      <w:pPr>
        <w:pStyle w:val="ListParagraph"/>
        <w:numPr>
          <w:ilvl w:val="0"/>
          <w:numId w:val="48"/>
        </w:numPr>
      </w:pPr>
      <w:r>
        <w:t>A simple environment variable that may be set dynamically at login is all that is needed to specify which spooler should be used.</w:t>
      </w:r>
    </w:p>
    <w:p w14:paraId="4252F477" w14:textId="44CE5F3A" w:rsidR="00C956A4" w:rsidRDefault="00157395" w:rsidP="00C956A4">
      <w:pPr>
        <w:pStyle w:val="ListParagraph"/>
        <w:numPr>
          <w:ilvl w:val="0"/>
          <w:numId w:val="48"/>
        </w:numPr>
      </w:pPr>
      <w:r>
        <w:t>Printer queue names in one spooler definition may exist in other spooler definitions without conflict.  This allows for identical jBASE printer queue names to exist in each spooler definition without conflict.</w:t>
      </w:r>
    </w:p>
    <w:p w14:paraId="3C280F09" w14:textId="1331F750" w:rsidR="00C02097" w:rsidRDefault="00C02097" w:rsidP="00C956A4">
      <w:pPr>
        <w:pStyle w:val="ListParagraph"/>
        <w:numPr>
          <w:ilvl w:val="0"/>
          <w:numId w:val="48"/>
        </w:numPr>
      </w:pPr>
      <w:r>
        <w:t xml:space="preserve">Currently JBCSPOOLER must be defined before launching into jBASE.  There is no SYSTEM attribute for defining JBCSPOOLER and putting it into the dynamic environment option does not work at this point.  </w:t>
      </w:r>
    </w:p>
    <w:p w14:paraId="34207AEC" w14:textId="77777777" w:rsidR="00157395" w:rsidRDefault="00157395" w:rsidP="00157395"/>
    <w:p w14:paraId="276B32B1" w14:textId="77FA4ABA" w:rsidR="00157395" w:rsidRDefault="00157395" w:rsidP="00157395">
      <w:pPr>
        <w:pStyle w:val="Heading4"/>
      </w:pPr>
      <w:r>
        <w:t>Conclusion</w:t>
      </w:r>
    </w:p>
    <w:p w14:paraId="5811B02A" w14:textId="1363BACE" w:rsidR="00157395" w:rsidRDefault="00157395" w:rsidP="00157395">
      <w:r>
        <w:t xml:space="preserve">When consolidating multiple customer’s servers into a single multi-tenanted server, it is necessary to maintain compatibility with existing printer queue / device names.  jBASE’s dynamic spooler allows a multi-tenanted deployment of applications on a single server while preserving the printer names that are familiar to users. </w:t>
      </w:r>
    </w:p>
    <w:p w14:paraId="74023CA9" w14:textId="14DE18B5" w:rsidR="00157395" w:rsidRDefault="00157395" w:rsidP="00157395"/>
    <w:p w14:paraId="27668E3B" w14:textId="0BD95E89" w:rsidR="00157395" w:rsidRDefault="00157395" w:rsidP="00157395">
      <w:r>
        <w:t>Additionally, because each jBASE spooler is separate from the other, including hold-spool jobs and job numbers, it is much easier to allow tenants to use the jBASE spooler utilities</w:t>
      </w:r>
      <w:r w:rsidR="00693B99">
        <w:t xml:space="preserve"> to observe and manage spooled jobs and hold-spool jobs without fear that sensitive information held within the spooler could be exposed to the wrong eyes.</w:t>
      </w:r>
    </w:p>
    <w:p w14:paraId="542C8C14" w14:textId="4C06B46E" w:rsidR="00693B99" w:rsidRDefault="00693B99" w:rsidP="00157395"/>
    <w:p w14:paraId="7B5E0B4D" w14:textId="64C2182F" w:rsidR="00693B99" w:rsidRDefault="00693B99" w:rsidP="00693B99">
      <w:pPr>
        <w:pStyle w:val="Heading4"/>
      </w:pPr>
      <w:r>
        <w:t>Additional Benefits of the jBASE Dynamic Spooler</w:t>
      </w:r>
    </w:p>
    <w:p w14:paraId="46AE0FA5" w14:textId="438335D8" w:rsidR="00693B99" w:rsidRDefault="00693B99" w:rsidP="005437AF">
      <w:pPr>
        <w:pStyle w:val="ListParagraph"/>
        <w:numPr>
          <w:ilvl w:val="0"/>
          <w:numId w:val="50"/>
        </w:numPr>
        <w:tabs>
          <w:tab w:val="left" w:pos="1080"/>
        </w:tabs>
        <w:ind w:left="720"/>
      </w:pPr>
      <w:r>
        <w:t>Allows encryption of at rest print jobs</w:t>
      </w:r>
      <w:r w:rsidR="005437AF">
        <w:t xml:space="preserve"> to provide both segregation as well as optional encryption of spooler hold jobs</w:t>
      </w:r>
      <w:r>
        <w:t>.</w:t>
      </w:r>
    </w:p>
    <w:p w14:paraId="7B60AA2E" w14:textId="266721E8" w:rsidR="00693B99" w:rsidRDefault="00693B99" w:rsidP="00C02097">
      <w:pPr>
        <w:pStyle w:val="ListParagraph"/>
        <w:numPr>
          <w:ilvl w:val="0"/>
          <w:numId w:val="49"/>
        </w:numPr>
      </w:pPr>
      <w:r>
        <w:t>Full Localization support including support for custom code pages based on locale.</w:t>
      </w:r>
    </w:p>
    <w:p w14:paraId="396526EC" w14:textId="5B6E26F3" w:rsidR="00693B99" w:rsidRPr="00693B99" w:rsidRDefault="00693B99" w:rsidP="00693B99">
      <w:pPr>
        <w:pStyle w:val="ListParagraph"/>
        <w:numPr>
          <w:ilvl w:val="0"/>
          <w:numId w:val="49"/>
        </w:numPr>
      </w:pPr>
      <w:r>
        <w:t>Both SP-ASSIGN and SETPTR style spooler directives are supported</w:t>
      </w:r>
    </w:p>
    <w:p w14:paraId="3844BFA5" w14:textId="77777777" w:rsidR="00693B99" w:rsidRDefault="00693B99" w:rsidP="00157395"/>
    <w:p w14:paraId="67B720B2" w14:textId="77777777" w:rsidR="00693B99" w:rsidRPr="00157395" w:rsidRDefault="00693B99" w:rsidP="00157395"/>
    <w:p w14:paraId="2546EB66" w14:textId="63B4124E" w:rsidR="00005DBF" w:rsidRDefault="009D3414" w:rsidP="00005DBF">
      <w:pPr>
        <w:pStyle w:val="Heading2"/>
      </w:pPr>
      <w:bookmarkStart w:id="24" w:name="_Toc521419295"/>
      <w:r>
        <w:lastRenderedPageBreak/>
        <w:t>Port Number Management</w:t>
      </w:r>
      <w:bookmarkEnd w:id="24"/>
    </w:p>
    <w:p w14:paraId="46C88442" w14:textId="72D8B178" w:rsidR="00D3756A" w:rsidRDefault="00D3756A" w:rsidP="00D3756A">
      <w:r>
        <w:t>When managing multiple tenants on a single machine, good housekeeping and organization dictates that users</w:t>
      </w:r>
      <w:r w:rsidR="00AC0578">
        <w:t xml:space="preserve"> and their port numbers</w:t>
      </w:r>
      <w:r>
        <w:t xml:space="preserve"> from one tenant should be </w:t>
      </w:r>
      <w:r w:rsidR="00AC0578">
        <w:t>either isolated or at least grouped together (if all tenants are configured to share the same memory segment)</w:t>
      </w:r>
      <w:r w:rsidR="000F6A02">
        <w:t xml:space="preserve">.  </w:t>
      </w:r>
      <w:r w:rsidR="008433CE">
        <w:t>jBASE supports</w:t>
      </w:r>
      <w:r w:rsidR="000F6A02">
        <w:t xml:space="preserve"> the concept of controlling port number assignments.   This allows for port numbers for one tenant running in the same shared memory instance of jBASE, to</w:t>
      </w:r>
      <w:r w:rsidR="00AC0578">
        <w:t xml:space="preserve"> </w:t>
      </w:r>
      <w:r>
        <w:t>grouped together in a range of ports rather than port numbers from all tenants being intermixed.</w:t>
      </w:r>
    </w:p>
    <w:p w14:paraId="160193C4" w14:textId="77777777" w:rsidR="00B11657" w:rsidRDefault="00B11657" w:rsidP="00D3756A">
      <w:pPr>
        <w:pStyle w:val="Heading3"/>
      </w:pPr>
      <w:bookmarkStart w:id="25" w:name="_Toc521419297"/>
    </w:p>
    <w:p w14:paraId="3CCEAAA1" w14:textId="5BB05033" w:rsidR="00D3756A" w:rsidRDefault="00D3756A" w:rsidP="00D3756A">
      <w:pPr>
        <w:pStyle w:val="Heading3"/>
      </w:pPr>
      <w:r>
        <w:t>jBASE and user port numbers</w:t>
      </w:r>
      <w:bookmarkEnd w:id="25"/>
    </w:p>
    <w:p w14:paraId="1C38D663" w14:textId="29F8066F" w:rsidR="00D3756A" w:rsidRDefault="00D3756A" w:rsidP="00D3756A">
      <w:r>
        <w:t>jBASE provides a mechanism for controlling and managing port numbers to allow for logical organization of user processes into port number ranges.  This feature is dynamic and easily configured by simply using the jBASE environment variable JBCPORTNO prior to invocation of the jsh shell process.</w:t>
      </w:r>
    </w:p>
    <w:p w14:paraId="2B1B8B85" w14:textId="5AC433D3" w:rsidR="00D3756A" w:rsidRDefault="00D3756A" w:rsidP="00D3756A"/>
    <w:p w14:paraId="3404FC92" w14:textId="6D69FFDD" w:rsidR="00D3756A" w:rsidRDefault="00D3756A" w:rsidP="00D3756A">
      <w:r>
        <w:t>An example assignment of JBCPORTNO might look like this:</w:t>
      </w:r>
    </w:p>
    <w:p w14:paraId="1689BB7F" w14:textId="77777777" w:rsidR="00D3756A" w:rsidRDefault="00D3756A" w:rsidP="00D3756A"/>
    <w:p w14:paraId="21AEE811" w14:textId="155FD7D9" w:rsidR="00D3756A" w:rsidRPr="00D3756A" w:rsidRDefault="00D3756A" w:rsidP="00D3756A">
      <w:pPr>
        <w:ind w:left="270"/>
        <w:rPr>
          <w:rFonts w:ascii="Courier New" w:hAnsi="Courier New" w:cs="Courier New"/>
        </w:rPr>
      </w:pPr>
      <w:r w:rsidRPr="00D3756A">
        <w:rPr>
          <w:rFonts w:ascii="Courier New" w:hAnsi="Courier New" w:cs="Courier New"/>
        </w:rPr>
        <w:t>export JBCPO</w:t>
      </w:r>
      <w:r>
        <w:rPr>
          <w:rFonts w:ascii="Courier New" w:hAnsi="Courier New" w:cs="Courier New"/>
        </w:rPr>
        <w:t>RTNO=300,304,310,350,360-390</w:t>
      </w:r>
      <w:r>
        <w:rPr>
          <w:rFonts w:ascii="Courier New" w:hAnsi="Courier New" w:cs="Courier New"/>
        </w:rPr>
        <w:tab/>
      </w:r>
      <w:r w:rsidRPr="00D3756A">
        <w:rPr>
          <w:rFonts w:ascii="Courier New" w:hAnsi="Courier New" w:cs="Courier New"/>
        </w:rPr>
        <w:t>(Unix)</w:t>
      </w:r>
      <w:r w:rsidRPr="00D3756A">
        <w:rPr>
          <w:rFonts w:ascii="Courier New" w:hAnsi="Courier New" w:cs="Courier New"/>
        </w:rPr>
        <w:br/>
        <w:t>set JBCPORTNO=</w:t>
      </w:r>
      <w:r>
        <w:rPr>
          <w:rFonts w:ascii="Courier New" w:hAnsi="Courier New" w:cs="Courier New"/>
        </w:rPr>
        <w:t>300,304,310,350,360-390</w:t>
      </w:r>
      <w:r>
        <w:rPr>
          <w:rFonts w:ascii="Courier New" w:hAnsi="Courier New" w:cs="Courier New"/>
        </w:rPr>
        <w:tab/>
      </w:r>
      <w:r w:rsidRPr="00D3756A">
        <w:rPr>
          <w:rFonts w:ascii="Courier New" w:hAnsi="Courier New" w:cs="Courier New"/>
        </w:rPr>
        <w:t>(Windows)</w:t>
      </w:r>
    </w:p>
    <w:p w14:paraId="3F442992" w14:textId="77777777" w:rsidR="00D3756A" w:rsidRDefault="00D3756A" w:rsidP="00D3756A"/>
    <w:p w14:paraId="5B981CCA" w14:textId="10DE1C07" w:rsidR="00D3756A" w:rsidRDefault="00D3756A" w:rsidP="00D3756A">
      <w:r>
        <w:t xml:space="preserve">In the example above, JBCPORTNO has been defined to be a set of available port numbers.  When the jsh (jBASE shell) process is invoked, jBASE will test each defined port number or range from left to right </w:t>
      </w:r>
      <w:r w:rsidR="004112B4">
        <w:t xml:space="preserve">to locate the first available port. </w:t>
      </w:r>
    </w:p>
    <w:p w14:paraId="33E5E25B" w14:textId="15297E2D" w:rsidR="004112B4" w:rsidRDefault="004112B4" w:rsidP="00D3756A"/>
    <w:p w14:paraId="4367F11F" w14:textId="2A234C32" w:rsidR="004112B4" w:rsidRDefault="004112B4" w:rsidP="00D3756A">
      <w:r>
        <w:t>Using this example, if port numbers 300, 304, 310, 350, and 360 were all in use, jsh would obtain port</w:t>
      </w:r>
      <w:r w:rsidR="005A5CE4">
        <w:t xml:space="preserve"> 361</w:t>
      </w:r>
      <w:r>
        <w:t xml:space="preserve"> for </w:t>
      </w:r>
      <w:r w:rsidR="00FD560E">
        <w:t>its</w:t>
      </w:r>
      <w:r>
        <w:t xml:space="preserve"> terminal session.</w:t>
      </w:r>
    </w:p>
    <w:p w14:paraId="22827CAF" w14:textId="02F6098A" w:rsidR="004112B4" w:rsidRDefault="004112B4" w:rsidP="00D3756A"/>
    <w:p w14:paraId="33D89CF2" w14:textId="17401557" w:rsidR="004112B4" w:rsidRDefault="004112B4" w:rsidP="00D3756A">
      <w:r>
        <w:t>If all the port numbers are in use, then a suitable error message is returned.</w:t>
      </w:r>
    </w:p>
    <w:p w14:paraId="3B8CAA03" w14:textId="1E631094" w:rsidR="004112B4" w:rsidRDefault="004112B4" w:rsidP="00D3756A"/>
    <w:p w14:paraId="597FCF49" w14:textId="0446B77D" w:rsidR="004112B4" w:rsidRDefault="004112B4" w:rsidP="00D3756A">
      <w:r>
        <w:t xml:space="preserve">Using this technique, the administrator may assign each tenant, group id, user id, </w:t>
      </w:r>
      <w:proofErr w:type="spellStart"/>
      <w:r>
        <w:t>ip</w:t>
      </w:r>
      <w:proofErr w:type="spellEnd"/>
      <w:r>
        <w:t xml:space="preserve"> address, etc. to a specific port number range containing a finite number of available port numbers.  This not only allows the administrator to design a sensible sc</w:t>
      </w:r>
      <w:r w:rsidR="00FD560E">
        <w:t xml:space="preserve">heme for organizing port </w:t>
      </w:r>
      <w:r w:rsidR="00487CD8">
        <w:t>allocation,</w:t>
      </w:r>
      <w:r>
        <w:t xml:space="preserve"> but it also allows the administrator to control how many jBASE processes (e.g., licenses) may be consumed by a tenant, group id, user id or </w:t>
      </w:r>
      <w:proofErr w:type="spellStart"/>
      <w:r>
        <w:t>ip</w:t>
      </w:r>
      <w:proofErr w:type="spellEnd"/>
      <w:r>
        <w:t xml:space="preserve"> address through the use of conventional scripting techniques.</w:t>
      </w:r>
    </w:p>
    <w:p w14:paraId="0F707958" w14:textId="77777777" w:rsidR="004112B4" w:rsidRDefault="004112B4" w:rsidP="00D3756A"/>
    <w:p w14:paraId="7D900310" w14:textId="77777777" w:rsidR="00D3756A" w:rsidRPr="00D3756A" w:rsidRDefault="00D3756A" w:rsidP="00D3756A"/>
    <w:p w14:paraId="6C8C4AB1" w14:textId="6FAAB9B2" w:rsidR="00157395" w:rsidRDefault="009B7974" w:rsidP="009B7974">
      <w:pPr>
        <w:pStyle w:val="Heading2"/>
      </w:pPr>
      <w:bookmarkStart w:id="26" w:name="_Toc521419298"/>
      <w:r>
        <w:t>Library Management</w:t>
      </w:r>
      <w:bookmarkEnd w:id="26"/>
    </w:p>
    <w:p w14:paraId="62FB2511" w14:textId="3078BC3D" w:rsidR="00AD7CA7" w:rsidRDefault="00B11657">
      <w:pPr>
        <w:spacing w:after="160" w:line="259" w:lineRule="auto"/>
      </w:pPr>
      <w:r>
        <w:t>jBASE uses environment variables to define where to locate both programs and subroutines.  Unlike other systems where you either have a single MD entry or a couple optional catalogue areas (local and global for example) jBASE allows you to fully define where to locate programs and libraries.  This concept works exactly typical O/S functions via environment variables.  This allows you to define a global set of programs and libraries that all tenants share and then a set of local programs and libraries that are unique to the tenant.  If a global program or library needs to be customized for a tenant you can easily make a local copy in the tenant area.  You would then define your environment variables to look in the Tenant area first and then the Global area.</w:t>
      </w:r>
    </w:p>
    <w:p w14:paraId="11E0FBBE" w14:textId="316E23B1" w:rsidR="00B11657" w:rsidRDefault="00B11657" w:rsidP="00B11657">
      <w:r>
        <w:t xml:space="preserve">An example </w:t>
      </w:r>
      <w:r>
        <w:t>might look like</w:t>
      </w:r>
    </w:p>
    <w:p w14:paraId="7F2671AD" w14:textId="77777777" w:rsidR="00B11657" w:rsidRDefault="00B11657" w:rsidP="00B11657"/>
    <w:p w14:paraId="009B8B26" w14:textId="78B83A50" w:rsidR="00B11657" w:rsidRDefault="00B11657" w:rsidP="00B11657">
      <w:pPr>
        <w:ind w:left="270"/>
        <w:rPr>
          <w:rFonts w:ascii="Courier New" w:hAnsi="Courier New" w:cs="Courier New"/>
        </w:rPr>
      </w:pPr>
      <w:r>
        <w:rPr>
          <w:rFonts w:ascii="Courier New" w:hAnsi="Courier New" w:cs="Courier New"/>
        </w:rPr>
        <w:t>ED SYSTEM client1</w:t>
      </w:r>
    </w:p>
    <w:p w14:paraId="4EA1FA82" w14:textId="224460DF" w:rsidR="00B11657" w:rsidRDefault="00B11657" w:rsidP="00B11657">
      <w:pPr>
        <w:ind w:left="270"/>
        <w:rPr>
          <w:rFonts w:ascii="Courier New" w:hAnsi="Courier New" w:cs="Courier New"/>
        </w:rPr>
      </w:pPr>
    </w:p>
    <w:p w14:paraId="34451378" w14:textId="28D3AB7F" w:rsidR="00B11657" w:rsidRDefault="00B11657" w:rsidP="00B11657">
      <w:pPr>
        <w:ind w:left="270"/>
        <w:rPr>
          <w:rFonts w:ascii="Courier New" w:hAnsi="Courier New" w:cs="Courier New"/>
        </w:rPr>
      </w:pPr>
      <w:r>
        <w:rPr>
          <w:rFonts w:ascii="Courier New" w:hAnsi="Courier New" w:cs="Courier New"/>
        </w:rPr>
        <w:t>Line 25 is PATH and line 26 is JOBJECTLIST</w:t>
      </w:r>
    </w:p>
    <w:p w14:paraId="5B66E16E" w14:textId="77777777" w:rsidR="008433CE" w:rsidRDefault="008433CE" w:rsidP="00B11657">
      <w:pPr>
        <w:ind w:left="270"/>
        <w:rPr>
          <w:rFonts w:ascii="Courier New" w:hAnsi="Courier New" w:cs="Courier New"/>
        </w:rPr>
      </w:pPr>
    </w:p>
    <w:p w14:paraId="490ED32D" w14:textId="0C892B95" w:rsidR="00B11657" w:rsidRDefault="00B11657" w:rsidP="00B11657">
      <w:pPr>
        <w:ind w:left="270"/>
        <w:rPr>
          <w:rFonts w:ascii="Courier New" w:hAnsi="Courier New" w:cs="Courier New"/>
        </w:rPr>
      </w:pPr>
      <w:r>
        <w:rPr>
          <w:rFonts w:ascii="Courier New" w:hAnsi="Courier New" w:cs="Courier New"/>
        </w:rPr>
        <w:t>25: /</w:t>
      </w:r>
      <w:proofErr w:type="spellStart"/>
      <w:r>
        <w:rPr>
          <w:rFonts w:ascii="Courier New" w:hAnsi="Courier New" w:cs="Courier New"/>
        </w:rPr>
        <w:t>dbms</w:t>
      </w:r>
      <w:proofErr w:type="spellEnd"/>
      <w:r>
        <w:rPr>
          <w:rFonts w:ascii="Courier New" w:hAnsi="Courier New" w:cs="Courier New"/>
        </w:rPr>
        <w:t>/clients/client1/bin:/</w:t>
      </w:r>
      <w:proofErr w:type="spellStart"/>
      <w:r>
        <w:rPr>
          <w:rFonts w:ascii="Courier New" w:hAnsi="Courier New" w:cs="Courier New"/>
        </w:rPr>
        <w:t>dbms</w:t>
      </w:r>
      <w:proofErr w:type="spellEnd"/>
      <w:r>
        <w:rPr>
          <w:rFonts w:ascii="Courier New" w:hAnsi="Courier New" w:cs="Courier New"/>
        </w:rPr>
        <w:t>/global/bin</w:t>
      </w:r>
    </w:p>
    <w:p w14:paraId="215A1A68" w14:textId="43A7B331" w:rsidR="008433CE" w:rsidRDefault="00B11657" w:rsidP="008433CE">
      <w:pPr>
        <w:ind w:left="270"/>
        <w:rPr>
          <w:rFonts w:ascii="Courier New" w:hAnsi="Courier New" w:cs="Courier New"/>
        </w:rPr>
      </w:pPr>
      <w:r>
        <w:rPr>
          <w:rFonts w:ascii="Courier New" w:hAnsi="Courier New" w:cs="Courier New"/>
        </w:rPr>
        <w:t>26: /</w:t>
      </w:r>
      <w:proofErr w:type="spellStart"/>
      <w:r>
        <w:rPr>
          <w:rFonts w:ascii="Courier New" w:hAnsi="Courier New" w:cs="Courier New"/>
        </w:rPr>
        <w:t>dbms</w:t>
      </w:r>
      <w:proofErr w:type="spellEnd"/>
      <w:r>
        <w:rPr>
          <w:rFonts w:ascii="Courier New" w:hAnsi="Courier New" w:cs="Courier New"/>
        </w:rPr>
        <w:t>/clients/client1/lib:/</w:t>
      </w:r>
      <w:proofErr w:type="spellStart"/>
      <w:r>
        <w:rPr>
          <w:rFonts w:ascii="Courier New" w:hAnsi="Courier New" w:cs="Courier New"/>
        </w:rPr>
        <w:t>dbms</w:t>
      </w:r>
      <w:proofErr w:type="spellEnd"/>
      <w:r>
        <w:rPr>
          <w:rFonts w:ascii="Courier New" w:hAnsi="Courier New" w:cs="Courier New"/>
        </w:rPr>
        <w:t>/global/lib</w:t>
      </w:r>
      <w:r w:rsidRPr="00D3756A">
        <w:rPr>
          <w:rFonts w:ascii="Courier New" w:hAnsi="Courier New" w:cs="Courier New"/>
        </w:rPr>
        <w:br/>
      </w:r>
    </w:p>
    <w:p w14:paraId="139224F0" w14:textId="77777777" w:rsidR="008433CE" w:rsidRPr="00D3756A" w:rsidRDefault="008433CE" w:rsidP="008433CE">
      <w:pPr>
        <w:rPr>
          <w:rFonts w:ascii="Courier New" w:hAnsi="Courier New" w:cs="Courier New"/>
        </w:rPr>
      </w:pPr>
    </w:p>
    <w:p w14:paraId="22DA3DF0" w14:textId="3E5AE035" w:rsidR="00B11657" w:rsidRDefault="008433CE">
      <w:pPr>
        <w:spacing w:after="160" w:line="259" w:lineRule="auto"/>
      </w:pPr>
      <w:r>
        <w:t xml:space="preserve">This same technique can be used to bring in third party libraries such as the </w:t>
      </w:r>
      <w:proofErr w:type="spellStart"/>
      <w:r>
        <w:t>Accuterm</w:t>
      </w:r>
      <w:proofErr w:type="spellEnd"/>
      <w:r>
        <w:t xml:space="preserve"> FTBP programs.  Instead of compiling them into your main library you could leave them in an </w:t>
      </w:r>
      <w:proofErr w:type="spellStart"/>
      <w:r>
        <w:t>Accuterm</w:t>
      </w:r>
      <w:proofErr w:type="spellEnd"/>
      <w:r>
        <w:t xml:space="preserve"> bin and lib locations and just include those into your path.</w:t>
      </w:r>
    </w:p>
    <w:p w14:paraId="56D9145C" w14:textId="3F581E95" w:rsidR="008433CE" w:rsidRDefault="008433CE">
      <w:pPr>
        <w:spacing w:after="160" w:line="259" w:lineRule="auto"/>
      </w:pPr>
      <w:r>
        <w:t>In jBASE you direct the compiler where to “Catalog” items with the two environment variables JBCDEV_BIN and JBCDEV_LIB.  You can either set these manually or you can use Attributes 23 and 24 of the system files.  You can also create Synonym (q-pointer) account entries with these entries preset.</w:t>
      </w:r>
    </w:p>
    <w:p w14:paraId="3299FEFD" w14:textId="4BF85E56" w:rsidR="008433CE" w:rsidRDefault="008433CE" w:rsidP="008433CE">
      <w:pPr>
        <w:pStyle w:val="Heading3"/>
      </w:pPr>
      <w:r>
        <w:t>Deployment Options</w:t>
      </w:r>
    </w:p>
    <w:p w14:paraId="50391A32" w14:textId="0CAE2AAC" w:rsidR="008433CE" w:rsidRDefault="008433CE">
      <w:pPr>
        <w:spacing w:after="160" w:line="259" w:lineRule="auto"/>
      </w:pPr>
      <w:r>
        <w:t>Since compile code in jBASE is normal O/S Exe/Bin and Lib/So items you could choose to deploy those items directly vs deploying source and compiling.  The only limitation to this technique is you must not recompile libraries on the Production/Down Stream systems due to the way libraries are bundled.  If you must recompile a library in production, it is recommended to have a PATCH bin and LIB in your paths where you can make a unique copy temporarily.  This technique allows you maintain very tight controls around changes.</w:t>
      </w:r>
    </w:p>
    <w:p w14:paraId="10A7B080" w14:textId="01203312" w:rsidR="008433CE" w:rsidRDefault="008433CE">
      <w:pPr>
        <w:spacing w:after="160" w:line="259" w:lineRule="auto"/>
      </w:pPr>
      <w:r>
        <w:t>Example</w:t>
      </w:r>
    </w:p>
    <w:p w14:paraId="3ECB05B3" w14:textId="77777777" w:rsidR="008433CE" w:rsidRDefault="008433CE" w:rsidP="008433CE"/>
    <w:p w14:paraId="0DA68C7C" w14:textId="77777777" w:rsidR="008433CE" w:rsidRDefault="008433CE" w:rsidP="008433CE">
      <w:pPr>
        <w:ind w:left="270"/>
        <w:rPr>
          <w:rFonts w:ascii="Courier New" w:hAnsi="Courier New" w:cs="Courier New"/>
        </w:rPr>
      </w:pPr>
      <w:r>
        <w:rPr>
          <w:rFonts w:ascii="Courier New" w:hAnsi="Courier New" w:cs="Courier New"/>
        </w:rPr>
        <w:t>ED SYSTEM client1</w:t>
      </w:r>
    </w:p>
    <w:p w14:paraId="49681D1B" w14:textId="77777777" w:rsidR="008433CE" w:rsidRDefault="008433CE" w:rsidP="008433CE">
      <w:pPr>
        <w:ind w:left="270"/>
        <w:rPr>
          <w:rFonts w:ascii="Courier New" w:hAnsi="Courier New" w:cs="Courier New"/>
        </w:rPr>
      </w:pPr>
    </w:p>
    <w:p w14:paraId="3A316728" w14:textId="77777777" w:rsidR="008433CE" w:rsidRDefault="008433CE" w:rsidP="008433CE">
      <w:pPr>
        <w:ind w:left="270"/>
        <w:rPr>
          <w:rFonts w:ascii="Courier New" w:hAnsi="Courier New" w:cs="Courier New"/>
        </w:rPr>
      </w:pPr>
      <w:r>
        <w:rPr>
          <w:rFonts w:ascii="Courier New" w:hAnsi="Courier New" w:cs="Courier New"/>
        </w:rPr>
        <w:t>Line 25 is PATH and line 26 is JOBJECTLIST</w:t>
      </w:r>
    </w:p>
    <w:p w14:paraId="144F34E9" w14:textId="77777777" w:rsidR="008433CE" w:rsidRDefault="008433CE" w:rsidP="008433CE">
      <w:pPr>
        <w:ind w:left="270"/>
        <w:rPr>
          <w:rFonts w:ascii="Courier New" w:hAnsi="Courier New" w:cs="Courier New"/>
        </w:rPr>
      </w:pPr>
    </w:p>
    <w:p w14:paraId="3DAD9E25" w14:textId="2F4D66CD" w:rsidR="008433CE" w:rsidRDefault="008433CE" w:rsidP="008433CE">
      <w:pPr>
        <w:ind w:left="270"/>
        <w:rPr>
          <w:rFonts w:ascii="Courier New" w:hAnsi="Courier New" w:cs="Courier New"/>
        </w:rPr>
      </w:pPr>
      <w:r>
        <w:rPr>
          <w:rFonts w:ascii="Courier New" w:hAnsi="Courier New" w:cs="Courier New"/>
        </w:rPr>
        <w:t>25: /</w:t>
      </w:r>
      <w:proofErr w:type="spellStart"/>
      <w:r>
        <w:rPr>
          <w:rFonts w:ascii="Courier New" w:hAnsi="Courier New" w:cs="Courier New"/>
        </w:rPr>
        <w:t>dbms</w:t>
      </w:r>
      <w:proofErr w:type="spellEnd"/>
      <w:r>
        <w:rPr>
          <w:rFonts w:ascii="Courier New" w:hAnsi="Courier New" w:cs="Courier New"/>
        </w:rPr>
        <w:t>/clients/client1/bin:</w:t>
      </w:r>
      <w:r>
        <w:rPr>
          <w:rFonts w:ascii="Courier New" w:hAnsi="Courier New" w:cs="Courier New"/>
        </w:rPr>
        <w:t>/</w:t>
      </w:r>
      <w:proofErr w:type="spellStart"/>
      <w:r>
        <w:rPr>
          <w:rFonts w:ascii="Courier New" w:hAnsi="Courier New" w:cs="Courier New"/>
        </w:rPr>
        <w:t>dbms</w:t>
      </w:r>
      <w:proofErr w:type="spellEnd"/>
      <w:r>
        <w:rPr>
          <w:rFonts w:ascii="Courier New" w:hAnsi="Courier New" w:cs="Courier New"/>
        </w:rPr>
        <w:t>/patches/bin:</w:t>
      </w:r>
      <w:r>
        <w:rPr>
          <w:rFonts w:ascii="Courier New" w:hAnsi="Courier New" w:cs="Courier New"/>
        </w:rPr>
        <w:t>/</w:t>
      </w:r>
      <w:proofErr w:type="spellStart"/>
      <w:r>
        <w:rPr>
          <w:rFonts w:ascii="Courier New" w:hAnsi="Courier New" w:cs="Courier New"/>
        </w:rPr>
        <w:t>dbms</w:t>
      </w:r>
      <w:proofErr w:type="spellEnd"/>
      <w:r>
        <w:rPr>
          <w:rFonts w:ascii="Courier New" w:hAnsi="Courier New" w:cs="Courier New"/>
        </w:rPr>
        <w:t>/global/bin</w:t>
      </w:r>
    </w:p>
    <w:p w14:paraId="4B53F734" w14:textId="777C379D" w:rsidR="008433CE" w:rsidRDefault="008433CE" w:rsidP="008433CE">
      <w:pPr>
        <w:spacing w:after="160" w:line="259" w:lineRule="auto"/>
        <w:ind w:firstLine="270"/>
      </w:pPr>
      <w:r>
        <w:rPr>
          <w:rFonts w:ascii="Courier New" w:hAnsi="Courier New" w:cs="Courier New"/>
        </w:rPr>
        <w:t>26: /</w:t>
      </w:r>
      <w:proofErr w:type="spellStart"/>
      <w:r>
        <w:rPr>
          <w:rFonts w:ascii="Courier New" w:hAnsi="Courier New" w:cs="Courier New"/>
        </w:rPr>
        <w:t>dbms</w:t>
      </w:r>
      <w:proofErr w:type="spellEnd"/>
      <w:r>
        <w:rPr>
          <w:rFonts w:ascii="Courier New" w:hAnsi="Courier New" w:cs="Courier New"/>
        </w:rPr>
        <w:t>/clients/client1/lib:</w:t>
      </w:r>
      <w:r>
        <w:rPr>
          <w:rFonts w:ascii="Courier New" w:hAnsi="Courier New" w:cs="Courier New"/>
        </w:rPr>
        <w:t>/</w:t>
      </w:r>
      <w:proofErr w:type="spellStart"/>
      <w:r>
        <w:rPr>
          <w:rFonts w:ascii="Courier New" w:hAnsi="Courier New" w:cs="Courier New"/>
        </w:rPr>
        <w:t>dbms</w:t>
      </w:r>
      <w:proofErr w:type="spellEnd"/>
      <w:r>
        <w:rPr>
          <w:rFonts w:ascii="Courier New" w:hAnsi="Courier New" w:cs="Courier New"/>
        </w:rPr>
        <w:t>/patches/lib:</w:t>
      </w:r>
      <w:r>
        <w:rPr>
          <w:rFonts w:ascii="Courier New" w:hAnsi="Courier New" w:cs="Courier New"/>
        </w:rPr>
        <w:t>/</w:t>
      </w:r>
      <w:proofErr w:type="spellStart"/>
      <w:r>
        <w:rPr>
          <w:rFonts w:ascii="Courier New" w:hAnsi="Courier New" w:cs="Courier New"/>
        </w:rPr>
        <w:t>dbms</w:t>
      </w:r>
      <w:proofErr w:type="spellEnd"/>
      <w:r>
        <w:rPr>
          <w:rFonts w:ascii="Courier New" w:hAnsi="Courier New" w:cs="Courier New"/>
        </w:rPr>
        <w:t>/global/lib</w:t>
      </w:r>
      <w:r w:rsidRPr="00D3756A">
        <w:rPr>
          <w:rFonts w:ascii="Courier New" w:hAnsi="Courier New" w:cs="Courier New"/>
        </w:rPr>
        <w:br/>
      </w:r>
    </w:p>
    <w:p w14:paraId="7FFC9CD0" w14:textId="0DDB4665" w:rsidR="00B11657" w:rsidRDefault="008433CE">
      <w:pPr>
        <w:spacing w:after="160" w:line="259" w:lineRule="auto"/>
      </w:pPr>
      <w:r>
        <w:t xml:space="preserve">Now when you must </w:t>
      </w:r>
      <w:r w:rsidR="00D6746F">
        <w:t>patch you can catalog into the PATCHES location.  Your original libraries and code stay as is.  You can also use this technique to selectively deploy patches to clients by deploying the patched versions into the customers bin and lib directories.</w:t>
      </w:r>
    </w:p>
    <w:p w14:paraId="30285062" w14:textId="31057A1D" w:rsidR="00D6746F" w:rsidRDefault="00D6746F" w:rsidP="00D6746F">
      <w:pPr>
        <w:pStyle w:val="Heading3"/>
      </w:pPr>
      <w:r>
        <w:t>Versioning</w:t>
      </w:r>
    </w:p>
    <w:p w14:paraId="44222446" w14:textId="77777777" w:rsidR="00D6746F" w:rsidRDefault="00D6746F">
      <w:pPr>
        <w:spacing w:after="160" w:line="259" w:lineRule="auto"/>
      </w:pPr>
      <w:r>
        <w:t>jBASE pathing also allows you to develop a versioning technique.  When deploying code you could choose to place them into a version directory.  Example</w:t>
      </w:r>
    </w:p>
    <w:p w14:paraId="7686345B" w14:textId="77777777" w:rsidR="00D6746F" w:rsidRPr="00D6746F" w:rsidRDefault="00D6746F">
      <w:pPr>
        <w:spacing w:after="160" w:line="259" w:lineRule="auto"/>
        <w:rPr>
          <w:rFonts w:ascii="Courier New" w:hAnsi="Courier New" w:cs="Courier New"/>
          <w:sz w:val="20"/>
          <w:szCs w:val="20"/>
        </w:rPr>
      </w:pPr>
      <w:r w:rsidRPr="00D6746F">
        <w:rPr>
          <w:rFonts w:ascii="Courier New" w:hAnsi="Courier New" w:cs="Courier New"/>
          <w:sz w:val="20"/>
          <w:szCs w:val="20"/>
        </w:rPr>
        <w:t>/</w:t>
      </w:r>
      <w:proofErr w:type="spellStart"/>
      <w:r w:rsidRPr="00D6746F">
        <w:rPr>
          <w:rFonts w:ascii="Courier New" w:hAnsi="Courier New" w:cs="Courier New"/>
          <w:sz w:val="20"/>
          <w:szCs w:val="20"/>
        </w:rPr>
        <w:t>dbms</w:t>
      </w:r>
      <w:proofErr w:type="spellEnd"/>
      <w:r w:rsidRPr="00D6746F">
        <w:rPr>
          <w:rFonts w:ascii="Courier New" w:hAnsi="Courier New" w:cs="Courier New"/>
          <w:sz w:val="20"/>
          <w:szCs w:val="20"/>
        </w:rPr>
        <w:t>/global/v1/bin and /</w:t>
      </w:r>
      <w:proofErr w:type="spellStart"/>
      <w:r w:rsidRPr="00D6746F">
        <w:rPr>
          <w:rFonts w:ascii="Courier New" w:hAnsi="Courier New" w:cs="Courier New"/>
          <w:sz w:val="20"/>
          <w:szCs w:val="20"/>
        </w:rPr>
        <w:t>dbms</w:t>
      </w:r>
      <w:proofErr w:type="spellEnd"/>
      <w:r w:rsidRPr="00D6746F">
        <w:rPr>
          <w:rFonts w:ascii="Courier New" w:hAnsi="Courier New" w:cs="Courier New"/>
          <w:sz w:val="20"/>
          <w:szCs w:val="20"/>
        </w:rPr>
        <w:t>/global/v1/lib</w:t>
      </w:r>
    </w:p>
    <w:p w14:paraId="62E045E1" w14:textId="77777777" w:rsidR="00D6746F" w:rsidRPr="00D6746F" w:rsidRDefault="00D6746F">
      <w:pPr>
        <w:spacing w:after="160" w:line="259" w:lineRule="auto"/>
        <w:rPr>
          <w:rFonts w:ascii="Courier New" w:hAnsi="Courier New" w:cs="Courier New"/>
          <w:sz w:val="20"/>
          <w:szCs w:val="20"/>
        </w:rPr>
      </w:pPr>
      <w:r w:rsidRPr="00D6746F">
        <w:rPr>
          <w:rFonts w:ascii="Courier New" w:hAnsi="Courier New" w:cs="Courier New"/>
          <w:sz w:val="20"/>
          <w:szCs w:val="20"/>
        </w:rPr>
        <w:t xml:space="preserve">You could then create a </w:t>
      </w:r>
      <w:proofErr w:type="spellStart"/>
      <w:r w:rsidRPr="00D6746F">
        <w:rPr>
          <w:rFonts w:ascii="Courier New" w:hAnsi="Courier New" w:cs="Courier New"/>
          <w:sz w:val="20"/>
          <w:szCs w:val="20"/>
        </w:rPr>
        <w:t>sym</w:t>
      </w:r>
      <w:proofErr w:type="spellEnd"/>
      <w:r w:rsidRPr="00D6746F">
        <w:rPr>
          <w:rFonts w:ascii="Courier New" w:hAnsi="Courier New" w:cs="Courier New"/>
          <w:sz w:val="20"/>
          <w:szCs w:val="20"/>
        </w:rPr>
        <w:t xml:space="preserve"> link where</w:t>
      </w:r>
    </w:p>
    <w:p w14:paraId="0450FBD9" w14:textId="77777777" w:rsidR="00D6746F" w:rsidRPr="00D6746F" w:rsidRDefault="00D6746F">
      <w:pPr>
        <w:spacing w:after="160" w:line="259" w:lineRule="auto"/>
        <w:rPr>
          <w:rFonts w:ascii="Courier New" w:hAnsi="Courier New" w:cs="Courier New"/>
          <w:sz w:val="20"/>
          <w:szCs w:val="20"/>
        </w:rPr>
      </w:pPr>
      <w:r w:rsidRPr="00D6746F">
        <w:rPr>
          <w:rFonts w:ascii="Courier New" w:hAnsi="Courier New" w:cs="Courier New"/>
          <w:sz w:val="20"/>
          <w:szCs w:val="20"/>
        </w:rPr>
        <w:t>/</w:t>
      </w:r>
      <w:proofErr w:type="spellStart"/>
      <w:r w:rsidRPr="00D6746F">
        <w:rPr>
          <w:rFonts w:ascii="Courier New" w:hAnsi="Courier New" w:cs="Courier New"/>
          <w:sz w:val="20"/>
          <w:szCs w:val="20"/>
        </w:rPr>
        <w:t>dbms</w:t>
      </w:r>
      <w:proofErr w:type="spellEnd"/>
      <w:r w:rsidRPr="00D6746F">
        <w:rPr>
          <w:rFonts w:ascii="Courier New" w:hAnsi="Courier New" w:cs="Courier New"/>
          <w:sz w:val="20"/>
          <w:szCs w:val="20"/>
        </w:rPr>
        <w:t>/global/bin -&gt; /</w:t>
      </w:r>
      <w:proofErr w:type="spellStart"/>
      <w:r w:rsidRPr="00D6746F">
        <w:rPr>
          <w:rFonts w:ascii="Courier New" w:hAnsi="Courier New" w:cs="Courier New"/>
          <w:sz w:val="20"/>
          <w:szCs w:val="20"/>
        </w:rPr>
        <w:t>dbms</w:t>
      </w:r>
      <w:proofErr w:type="spellEnd"/>
      <w:r w:rsidRPr="00D6746F">
        <w:rPr>
          <w:rFonts w:ascii="Courier New" w:hAnsi="Courier New" w:cs="Courier New"/>
          <w:sz w:val="20"/>
          <w:szCs w:val="20"/>
        </w:rPr>
        <w:t>/global/v1/bin</w:t>
      </w:r>
    </w:p>
    <w:p w14:paraId="6267232B" w14:textId="77777777" w:rsidR="00D6746F" w:rsidRPr="00D6746F" w:rsidRDefault="00D6746F">
      <w:pPr>
        <w:spacing w:after="160" w:line="259" w:lineRule="auto"/>
        <w:rPr>
          <w:rFonts w:ascii="Courier New" w:hAnsi="Courier New" w:cs="Courier New"/>
          <w:sz w:val="20"/>
          <w:szCs w:val="20"/>
        </w:rPr>
      </w:pPr>
      <w:r w:rsidRPr="00D6746F">
        <w:rPr>
          <w:rFonts w:ascii="Courier New" w:hAnsi="Courier New" w:cs="Courier New"/>
          <w:sz w:val="20"/>
          <w:szCs w:val="20"/>
        </w:rPr>
        <w:t>/</w:t>
      </w:r>
      <w:proofErr w:type="spellStart"/>
      <w:r w:rsidRPr="00D6746F">
        <w:rPr>
          <w:rFonts w:ascii="Courier New" w:hAnsi="Courier New" w:cs="Courier New"/>
          <w:sz w:val="20"/>
          <w:szCs w:val="20"/>
        </w:rPr>
        <w:t>dbms</w:t>
      </w:r>
      <w:proofErr w:type="spellEnd"/>
      <w:r w:rsidRPr="00D6746F">
        <w:rPr>
          <w:rFonts w:ascii="Courier New" w:hAnsi="Courier New" w:cs="Courier New"/>
          <w:sz w:val="20"/>
          <w:szCs w:val="20"/>
        </w:rPr>
        <w:t>/global/lib -&gt; /</w:t>
      </w:r>
      <w:proofErr w:type="spellStart"/>
      <w:r w:rsidRPr="00D6746F">
        <w:rPr>
          <w:rFonts w:ascii="Courier New" w:hAnsi="Courier New" w:cs="Courier New"/>
          <w:sz w:val="20"/>
          <w:szCs w:val="20"/>
        </w:rPr>
        <w:t>dbms</w:t>
      </w:r>
      <w:proofErr w:type="spellEnd"/>
      <w:r w:rsidRPr="00D6746F">
        <w:rPr>
          <w:rFonts w:ascii="Courier New" w:hAnsi="Courier New" w:cs="Courier New"/>
          <w:sz w:val="20"/>
          <w:szCs w:val="20"/>
        </w:rPr>
        <w:t>/global/lib</w:t>
      </w:r>
    </w:p>
    <w:p w14:paraId="57FCEC93" w14:textId="77777777" w:rsidR="00D6746F" w:rsidRDefault="00D6746F">
      <w:pPr>
        <w:spacing w:after="160" w:line="259" w:lineRule="auto"/>
      </w:pPr>
      <w:r>
        <w:lastRenderedPageBreak/>
        <w:t xml:space="preserve">You can now maintain older versions of the code and quickly revert back by either changing the </w:t>
      </w:r>
      <w:proofErr w:type="spellStart"/>
      <w:r>
        <w:t>sym</w:t>
      </w:r>
      <w:proofErr w:type="spellEnd"/>
      <w:r>
        <w:t xml:space="preserve"> link or if just a certain tenant needs to revert back you could just manually adjust their SYSTEM file.</w:t>
      </w:r>
    </w:p>
    <w:p w14:paraId="11D4B7CD" w14:textId="3F1BC966" w:rsidR="009B7974" w:rsidRDefault="009B7974" w:rsidP="00C939D1">
      <w:pPr>
        <w:spacing w:after="160" w:line="259" w:lineRule="auto"/>
      </w:pPr>
    </w:p>
    <w:sectPr w:rsidR="009B7974" w:rsidSect="00D650B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04A2D" w14:textId="77777777" w:rsidR="0091538C" w:rsidRDefault="0091538C" w:rsidP="007E6608">
      <w:r>
        <w:separator/>
      </w:r>
    </w:p>
  </w:endnote>
  <w:endnote w:type="continuationSeparator" w:id="0">
    <w:p w14:paraId="3F790132" w14:textId="77777777" w:rsidR="0091538C" w:rsidRDefault="0091538C" w:rsidP="007E6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D5C71" w14:textId="77777777" w:rsidR="00AD7CA7" w:rsidRDefault="00AD7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BE3E7" w14:textId="012B7946" w:rsidR="00AD7CA7" w:rsidRDefault="00AD7CA7">
    <w:pPr>
      <w:pStyle w:val="Footer"/>
    </w:pPr>
    <w:r>
      <w:t>Zumasys</w:t>
    </w:r>
    <w:r>
      <w:tab/>
    </w:r>
    <w:bookmarkStart w:id="27" w:name="_GoBack"/>
    <w:bookmarkEnd w:id="27"/>
    <w:r>
      <w:tab/>
      <w:t xml:space="preserve">Page </w:t>
    </w:r>
    <w:r w:rsidRPr="64ADB5D7">
      <w:rPr>
        <w:noProof/>
      </w:rPr>
      <w:fldChar w:fldCharType="begin"/>
    </w:r>
    <w:r>
      <w:instrText xml:space="preserve"> PAGE   \* MERGEFORMAT </w:instrText>
    </w:r>
    <w:r w:rsidRPr="64ADB5D7">
      <w:fldChar w:fldCharType="separate"/>
    </w:r>
    <w:r>
      <w:rPr>
        <w:noProof/>
      </w:rPr>
      <w:t>3</w:t>
    </w:r>
    <w:r w:rsidRPr="64ADB5D7">
      <w:rPr>
        <w:noProof/>
      </w:rPr>
      <w:fldChar w:fldCharType="end"/>
    </w:r>
    <w:r>
      <w:t xml:space="preserve"> of </w:t>
    </w:r>
    <w:fldSimple w:instr=" NUMPAGES   \* MERGEFORMAT ">
      <w:r>
        <w:rPr>
          <w:noProof/>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D3CD" w14:textId="77777777" w:rsidR="00AD7CA7" w:rsidRDefault="00AD7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66E9B" w14:textId="77777777" w:rsidR="0091538C" w:rsidRDefault="0091538C" w:rsidP="007E6608">
      <w:r>
        <w:separator/>
      </w:r>
    </w:p>
  </w:footnote>
  <w:footnote w:type="continuationSeparator" w:id="0">
    <w:p w14:paraId="334B351C" w14:textId="77777777" w:rsidR="0091538C" w:rsidRDefault="0091538C" w:rsidP="007E6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3DB5B" w14:textId="77777777" w:rsidR="00AD7CA7" w:rsidRDefault="00AD7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332177"/>
      <w:docPartObj>
        <w:docPartGallery w:val="Watermarks"/>
        <w:docPartUnique/>
      </w:docPartObj>
    </w:sdtPr>
    <w:sdtEndPr/>
    <w:sdtContent>
      <w:p w14:paraId="5DC44C40" w14:textId="441B8014" w:rsidR="00AD7CA7" w:rsidRDefault="0091538C">
        <w:pPr>
          <w:pStyle w:val="Header"/>
        </w:pPr>
        <w:r>
          <w:rPr>
            <w:noProof/>
          </w:rPr>
          <w:pict w14:anchorId="0ED806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16825" w14:textId="77777777" w:rsidR="00AD7CA7" w:rsidRDefault="00AD7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C60"/>
    <w:multiLevelType w:val="hybridMultilevel"/>
    <w:tmpl w:val="CD6EA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B2E98"/>
    <w:multiLevelType w:val="hybridMultilevel"/>
    <w:tmpl w:val="71705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B056E"/>
    <w:multiLevelType w:val="hybridMultilevel"/>
    <w:tmpl w:val="E64C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11A0"/>
    <w:multiLevelType w:val="hybridMultilevel"/>
    <w:tmpl w:val="B470CC56"/>
    <w:lvl w:ilvl="0" w:tplc="B106E69E">
      <w:start w:val="1"/>
      <w:numFmt w:val="bullet"/>
      <w:lvlText w:val=""/>
      <w:lvlJc w:val="left"/>
      <w:pPr>
        <w:ind w:left="720" w:hanging="360"/>
      </w:pPr>
      <w:rPr>
        <w:rFonts w:ascii="Symbol" w:hAnsi="Symbol" w:hint="default"/>
      </w:rPr>
    </w:lvl>
    <w:lvl w:ilvl="1" w:tplc="CC847400">
      <w:start w:val="1"/>
      <w:numFmt w:val="bullet"/>
      <w:lvlText w:val="o"/>
      <w:lvlJc w:val="left"/>
      <w:pPr>
        <w:ind w:left="1440" w:hanging="360"/>
      </w:pPr>
      <w:rPr>
        <w:rFonts w:ascii="Courier New" w:hAnsi="Courier New" w:hint="default"/>
      </w:rPr>
    </w:lvl>
    <w:lvl w:ilvl="2" w:tplc="AFF24A34">
      <w:start w:val="1"/>
      <w:numFmt w:val="bullet"/>
      <w:lvlText w:val=""/>
      <w:lvlJc w:val="left"/>
      <w:pPr>
        <w:ind w:left="2160" w:hanging="360"/>
      </w:pPr>
      <w:rPr>
        <w:rFonts w:ascii="Wingdings" w:hAnsi="Wingdings" w:hint="default"/>
      </w:rPr>
    </w:lvl>
    <w:lvl w:ilvl="3" w:tplc="3948FC52">
      <w:start w:val="1"/>
      <w:numFmt w:val="bullet"/>
      <w:lvlText w:val=""/>
      <w:lvlJc w:val="left"/>
      <w:pPr>
        <w:ind w:left="2880" w:hanging="360"/>
      </w:pPr>
      <w:rPr>
        <w:rFonts w:ascii="Symbol" w:hAnsi="Symbol" w:hint="default"/>
      </w:rPr>
    </w:lvl>
    <w:lvl w:ilvl="4" w:tplc="6D640634">
      <w:start w:val="1"/>
      <w:numFmt w:val="bullet"/>
      <w:lvlText w:val="o"/>
      <w:lvlJc w:val="left"/>
      <w:pPr>
        <w:ind w:left="3600" w:hanging="360"/>
      </w:pPr>
      <w:rPr>
        <w:rFonts w:ascii="Courier New" w:hAnsi="Courier New" w:hint="default"/>
      </w:rPr>
    </w:lvl>
    <w:lvl w:ilvl="5" w:tplc="54F22BC2">
      <w:start w:val="1"/>
      <w:numFmt w:val="bullet"/>
      <w:lvlText w:val=""/>
      <w:lvlJc w:val="left"/>
      <w:pPr>
        <w:ind w:left="4320" w:hanging="360"/>
      </w:pPr>
      <w:rPr>
        <w:rFonts w:ascii="Wingdings" w:hAnsi="Wingdings" w:hint="default"/>
      </w:rPr>
    </w:lvl>
    <w:lvl w:ilvl="6" w:tplc="26C2562A">
      <w:start w:val="1"/>
      <w:numFmt w:val="bullet"/>
      <w:lvlText w:val=""/>
      <w:lvlJc w:val="left"/>
      <w:pPr>
        <w:ind w:left="5040" w:hanging="360"/>
      </w:pPr>
      <w:rPr>
        <w:rFonts w:ascii="Symbol" w:hAnsi="Symbol" w:hint="default"/>
      </w:rPr>
    </w:lvl>
    <w:lvl w:ilvl="7" w:tplc="EA2EAE76">
      <w:start w:val="1"/>
      <w:numFmt w:val="bullet"/>
      <w:lvlText w:val="o"/>
      <w:lvlJc w:val="left"/>
      <w:pPr>
        <w:ind w:left="5760" w:hanging="360"/>
      </w:pPr>
      <w:rPr>
        <w:rFonts w:ascii="Courier New" w:hAnsi="Courier New" w:hint="default"/>
      </w:rPr>
    </w:lvl>
    <w:lvl w:ilvl="8" w:tplc="86D40F36">
      <w:start w:val="1"/>
      <w:numFmt w:val="bullet"/>
      <w:lvlText w:val=""/>
      <w:lvlJc w:val="left"/>
      <w:pPr>
        <w:ind w:left="6480" w:hanging="360"/>
      </w:pPr>
      <w:rPr>
        <w:rFonts w:ascii="Wingdings" w:hAnsi="Wingdings" w:hint="default"/>
      </w:rPr>
    </w:lvl>
  </w:abstractNum>
  <w:abstractNum w:abstractNumId="4" w15:restartNumberingAfterBreak="0">
    <w:nsid w:val="0AC4456B"/>
    <w:multiLevelType w:val="hybridMultilevel"/>
    <w:tmpl w:val="CA20ECEC"/>
    <w:lvl w:ilvl="0" w:tplc="6E7C0C28">
      <w:start w:val="1"/>
      <w:numFmt w:val="decimal"/>
      <w:lvlText w:val="%1)"/>
      <w:lvlJc w:val="left"/>
      <w:pPr>
        <w:ind w:left="720" w:hanging="360"/>
      </w:pPr>
      <w:rPr>
        <w:rFonts w:ascii="Calibri" w:hAnsi="Calibri" w:cs="Times New Roman"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206F"/>
    <w:multiLevelType w:val="hybridMultilevel"/>
    <w:tmpl w:val="0E96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717BA"/>
    <w:multiLevelType w:val="hybridMultilevel"/>
    <w:tmpl w:val="011AC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402C5"/>
    <w:multiLevelType w:val="hybridMultilevel"/>
    <w:tmpl w:val="BEDC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11602"/>
    <w:multiLevelType w:val="hybridMultilevel"/>
    <w:tmpl w:val="5A200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1710E"/>
    <w:multiLevelType w:val="hybridMultilevel"/>
    <w:tmpl w:val="01AA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C7E4C"/>
    <w:multiLevelType w:val="hybridMultilevel"/>
    <w:tmpl w:val="D65E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81CCD"/>
    <w:multiLevelType w:val="hybridMultilevel"/>
    <w:tmpl w:val="2870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6F0A75"/>
    <w:multiLevelType w:val="hybridMultilevel"/>
    <w:tmpl w:val="CA94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E6019"/>
    <w:multiLevelType w:val="hybridMultilevel"/>
    <w:tmpl w:val="BC72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94BB6"/>
    <w:multiLevelType w:val="hybridMultilevel"/>
    <w:tmpl w:val="AE02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B5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4A1F01"/>
    <w:multiLevelType w:val="hybridMultilevel"/>
    <w:tmpl w:val="25D4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1763F"/>
    <w:multiLevelType w:val="hybridMultilevel"/>
    <w:tmpl w:val="33826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C6039"/>
    <w:multiLevelType w:val="hybridMultilevel"/>
    <w:tmpl w:val="82E6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56FC4"/>
    <w:multiLevelType w:val="hybridMultilevel"/>
    <w:tmpl w:val="ED8EED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0C12B1"/>
    <w:multiLevelType w:val="hybridMultilevel"/>
    <w:tmpl w:val="6C78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008FE"/>
    <w:multiLevelType w:val="hybridMultilevel"/>
    <w:tmpl w:val="6F3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95678"/>
    <w:multiLevelType w:val="hybridMultilevel"/>
    <w:tmpl w:val="FABE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5B10C5"/>
    <w:multiLevelType w:val="hybridMultilevel"/>
    <w:tmpl w:val="CAA24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32132D"/>
    <w:multiLevelType w:val="hybridMultilevel"/>
    <w:tmpl w:val="9A86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B2F8A"/>
    <w:multiLevelType w:val="hybridMultilevel"/>
    <w:tmpl w:val="FAD0B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56959"/>
    <w:multiLevelType w:val="multilevel"/>
    <w:tmpl w:val="6B68D1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9D5DD3"/>
    <w:multiLevelType w:val="hybridMultilevel"/>
    <w:tmpl w:val="F2E26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46FEF"/>
    <w:multiLevelType w:val="hybridMultilevel"/>
    <w:tmpl w:val="05166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5412C"/>
    <w:multiLevelType w:val="hybridMultilevel"/>
    <w:tmpl w:val="DFA2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D2298C"/>
    <w:multiLevelType w:val="hybridMultilevel"/>
    <w:tmpl w:val="2D2A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14083A"/>
    <w:multiLevelType w:val="hybridMultilevel"/>
    <w:tmpl w:val="B70CF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4657EDA"/>
    <w:multiLevelType w:val="hybridMultilevel"/>
    <w:tmpl w:val="DFDA7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F337EA"/>
    <w:multiLevelType w:val="hybridMultilevel"/>
    <w:tmpl w:val="8732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86B60"/>
    <w:multiLevelType w:val="hybridMultilevel"/>
    <w:tmpl w:val="2054A976"/>
    <w:lvl w:ilvl="0" w:tplc="6E7C0C28">
      <w:start w:val="1"/>
      <w:numFmt w:val="decimal"/>
      <w:lvlText w:val="%1)"/>
      <w:lvlJc w:val="left"/>
      <w:pPr>
        <w:ind w:left="720" w:hanging="360"/>
      </w:pPr>
      <w:rPr>
        <w:rFonts w:ascii="Calibri" w:hAnsi="Calibri" w:cs="Times New Roman"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92973"/>
    <w:multiLevelType w:val="hybridMultilevel"/>
    <w:tmpl w:val="D1AAF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51918"/>
    <w:multiLevelType w:val="hybridMultilevel"/>
    <w:tmpl w:val="AA16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886ADB"/>
    <w:multiLevelType w:val="hybridMultilevel"/>
    <w:tmpl w:val="58C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9E397D"/>
    <w:multiLevelType w:val="hybridMultilevel"/>
    <w:tmpl w:val="7E1A2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EE1BF1"/>
    <w:multiLevelType w:val="hybridMultilevel"/>
    <w:tmpl w:val="2EC22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A06CEA"/>
    <w:multiLevelType w:val="hybridMultilevel"/>
    <w:tmpl w:val="539E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B0302D"/>
    <w:multiLevelType w:val="hybridMultilevel"/>
    <w:tmpl w:val="BF1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4101AE"/>
    <w:multiLevelType w:val="hybridMultilevel"/>
    <w:tmpl w:val="193447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D32A31"/>
    <w:multiLevelType w:val="hybridMultilevel"/>
    <w:tmpl w:val="CA8845B2"/>
    <w:lvl w:ilvl="0" w:tplc="6E7C0C28">
      <w:start w:val="1"/>
      <w:numFmt w:val="decimal"/>
      <w:lvlText w:val="%1)"/>
      <w:lvlJc w:val="left"/>
      <w:pPr>
        <w:ind w:left="720" w:hanging="360"/>
      </w:pPr>
      <w:rPr>
        <w:rFonts w:ascii="Calibri" w:hAnsi="Calibri" w:cs="Times New Roman"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9E35C6"/>
    <w:multiLevelType w:val="hybridMultilevel"/>
    <w:tmpl w:val="326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545D3"/>
    <w:multiLevelType w:val="multilevel"/>
    <w:tmpl w:val="6B68D1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3320748"/>
    <w:multiLevelType w:val="hybridMultilevel"/>
    <w:tmpl w:val="FAF0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A01148"/>
    <w:multiLevelType w:val="hybridMultilevel"/>
    <w:tmpl w:val="38C6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017DA9"/>
    <w:multiLevelType w:val="hybridMultilevel"/>
    <w:tmpl w:val="FFBA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912EF"/>
    <w:multiLevelType w:val="hybridMultilevel"/>
    <w:tmpl w:val="0AD2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22"/>
  </w:num>
  <w:num w:numId="5">
    <w:abstractNumId w:val="29"/>
  </w:num>
  <w:num w:numId="6">
    <w:abstractNumId w:val="7"/>
  </w:num>
  <w:num w:numId="7">
    <w:abstractNumId w:val="48"/>
  </w:num>
  <w:num w:numId="8">
    <w:abstractNumId w:val="16"/>
  </w:num>
  <w:num w:numId="9">
    <w:abstractNumId w:val="36"/>
  </w:num>
  <w:num w:numId="10">
    <w:abstractNumId w:val="14"/>
  </w:num>
  <w:num w:numId="11">
    <w:abstractNumId w:val="37"/>
  </w:num>
  <w:num w:numId="12">
    <w:abstractNumId w:val="40"/>
  </w:num>
  <w:num w:numId="13">
    <w:abstractNumId w:val="47"/>
  </w:num>
  <w:num w:numId="14">
    <w:abstractNumId w:val="3"/>
  </w:num>
  <w:num w:numId="15">
    <w:abstractNumId w:val="38"/>
  </w:num>
  <w:num w:numId="16">
    <w:abstractNumId w:val="32"/>
  </w:num>
  <w:num w:numId="17">
    <w:abstractNumId w:val="4"/>
  </w:num>
  <w:num w:numId="18">
    <w:abstractNumId w:val="34"/>
  </w:num>
  <w:num w:numId="19">
    <w:abstractNumId w:val="43"/>
  </w:num>
  <w:num w:numId="20">
    <w:abstractNumId w:val="27"/>
  </w:num>
  <w:num w:numId="21">
    <w:abstractNumId w:val="42"/>
  </w:num>
  <w:num w:numId="22">
    <w:abstractNumId w:val="30"/>
  </w:num>
  <w:num w:numId="23">
    <w:abstractNumId w:val="44"/>
  </w:num>
  <w:num w:numId="24">
    <w:abstractNumId w:val="19"/>
  </w:num>
  <w:num w:numId="25">
    <w:abstractNumId w:val="28"/>
  </w:num>
  <w:num w:numId="26">
    <w:abstractNumId w:val="46"/>
  </w:num>
  <w:num w:numId="27">
    <w:abstractNumId w:val="33"/>
  </w:num>
  <w:num w:numId="28">
    <w:abstractNumId w:val="49"/>
  </w:num>
  <w:num w:numId="29">
    <w:abstractNumId w:val="5"/>
  </w:num>
  <w:num w:numId="30">
    <w:abstractNumId w:val="31"/>
  </w:num>
  <w:num w:numId="31">
    <w:abstractNumId w:val="13"/>
  </w:num>
  <w:num w:numId="32">
    <w:abstractNumId w:val="15"/>
  </w:num>
  <w:num w:numId="33">
    <w:abstractNumId w:val="45"/>
  </w:num>
  <w:num w:numId="34">
    <w:abstractNumId w:val="26"/>
  </w:num>
  <w:num w:numId="35">
    <w:abstractNumId w:val="17"/>
  </w:num>
  <w:num w:numId="36">
    <w:abstractNumId w:val="24"/>
  </w:num>
  <w:num w:numId="37">
    <w:abstractNumId w:val="18"/>
  </w:num>
  <w:num w:numId="38">
    <w:abstractNumId w:val="23"/>
  </w:num>
  <w:num w:numId="39">
    <w:abstractNumId w:val="25"/>
  </w:num>
  <w:num w:numId="40">
    <w:abstractNumId w:val="41"/>
  </w:num>
  <w:num w:numId="41">
    <w:abstractNumId w:val="1"/>
  </w:num>
  <w:num w:numId="42">
    <w:abstractNumId w:val="8"/>
  </w:num>
  <w:num w:numId="43">
    <w:abstractNumId w:val="39"/>
  </w:num>
  <w:num w:numId="44">
    <w:abstractNumId w:val="6"/>
  </w:num>
  <w:num w:numId="45">
    <w:abstractNumId w:val="35"/>
  </w:num>
  <w:num w:numId="46">
    <w:abstractNumId w:val="20"/>
  </w:num>
  <w:num w:numId="47">
    <w:abstractNumId w:val="9"/>
  </w:num>
  <w:num w:numId="48">
    <w:abstractNumId w:val="12"/>
  </w:num>
  <w:num w:numId="49">
    <w:abstractNumId w:val="2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2F7"/>
    <w:rsid w:val="000021FF"/>
    <w:rsid w:val="00005DBF"/>
    <w:rsid w:val="000067D4"/>
    <w:rsid w:val="00007833"/>
    <w:rsid w:val="00014A0D"/>
    <w:rsid w:val="00030417"/>
    <w:rsid w:val="00040FFE"/>
    <w:rsid w:val="00054783"/>
    <w:rsid w:val="00054CC9"/>
    <w:rsid w:val="000922F7"/>
    <w:rsid w:val="00096170"/>
    <w:rsid w:val="00097CE3"/>
    <w:rsid w:val="000A199C"/>
    <w:rsid w:val="000A6BC4"/>
    <w:rsid w:val="000B00C5"/>
    <w:rsid w:val="000C0210"/>
    <w:rsid w:val="000C2443"/>
    <w:rsid w:val="000C63D8"/>
    <w:rsid w:val="000D0A8D"/>
    <w:rsid w:val="000D2361"/>
    <w:rsid w:val="000E1E12"/>
    <w:rsid w:val="000E4A9A"/>
    <w:rsid w:val="000F0BEC"/>
    <w:rsid w:val="000F6A02"/>
    <w:rsid w:val="000F70EE"/>
    <w:rsid w:val="001071D6"/>
    <w:rsid w:val="00124C28"/>
    <w:rsid w:val="00132614"/>
    <w:rsid w:val="00132B8A"/>
    <w:rsid w:val="00136C5B"/>
    <w:rsid w:val="00140FE5"/>
    <w:rsid w:val="00145EE3"/>
    <w:rsid w:val="00146506"/>
    <w:rsid w:val="001541DA"/>
    <w:rsid w:val="00157395"/>
    <w:rsid w:val="001816B7"/>
    <w:rsid w:val="00196AB4"/>
    <w:rsid w:val="001A4EFB"/>
    <w:rsid w:val="001C229F"/>
    <w:rsid w:val="001E7F09"/>
    <w:rsid w:val="001F1981"/>
    <w:rsid w:val="001F1E1C"/>
    <w:rsid w:val="001F401D"/>
    <w:rsid w:val="001F657F"/>
    <w:rsid w:val="001F77B3"/>
    <w:rsid w:val="00207D10"/>
    <w:rsid w:val="002165C7"/>
    <w:rsid w:val="00216CE2"/>
    <w:rsid w:val="00222803"/>
    <w:rsid w:val="002269B9"/>
    <w:rsid w:val="002328E6"/>
    <w:rsid w:val="0025048A"/>
    <w:rsid w:val="0025749E"/>
    <w:rsid w:val="00264262"/>
    <w:rsid w:val="002773AD"/>
    <w:rsid w:val="0028101F"/>
    <w:rsid w:val="00296D1E"/>
    <w:rsid w:val="002C0BD0"/>
    <w:rsid w:val="002C6BC7"/>
    <w:rsid w:val="002D1582"/>
    <w:rsid w:val="002D2291"/>
    <w:rsid w:val="002D637B"/>
    <w:rsid w:val="002E0E92"/>
    <w:rsid w:val="002E42FC"/>
    <w:rsid w:val="002E62CD"/>
    <w:rsid w:val="002F2891"/>
    <w:rsid w:val="002F60F8"/>
    <w:rsid w:val="003030A8"/>
    <w:rsid w:val="003104D4"/>
    <w:rsid w:val="00325722"/>
    <w:rsid w:val="00337013"/>
    <w:rsid w:val="00340AD0"/>
    <w:rsid w:val="00341E63"/>
    <w:rsid w:val="00350CBC"/>
    <w:rsid w:val="00351292"/>
    <w:rsid w:val="00351E65"/>
    <w:rsid w:val="00353B26"/>
    <w:rsid w:val="00357A70"/>
    <w:rsid w:val="00363A86"/>
    <w:rsid w:val="00373023"/>
    <w:rsid w:val="00381A3A"/>
    <w:rsid w:val="003867E4"/>
    <w:rsid w:val="003905A1"/>
    <w:rsid w:val="00392812"/>
    <w:rsid w:val="00393472"/>
    <w:rsid w:val="003B0366"/>
    <w:rsid w:val="003B54FE"/>
    <w:rsid w:val="003B7941"/>
    <w:rsid w:val="003E7EDE"/>
    <w:rsid w:val="003F4DC0"/>
    <w:rsid w:val="00401E88"/>
    <w:rsid w:val="00406391"/>
    <w:rsid w:val="0040697C"/>
    <w:rsid w:val="00410CCB"/>
    <w:rsid w:val="004112B4"/>
    <w:rsid w:val="004247D6"/>
    <w:rsid w:val="0043177B"/>
    <w:rsid w:val="0046120C"/>
    <w:rsid w:val="0046532A"/>
    <w:rsid w:val="004750E1"/>
    <w:rsid w:val="00475560"/>
    <w:rsid w:val="00482A44"/>
    <w:rsid w:val="0048754B"/>
    <w:rsid w:val="00487CD8"/>
    <w:rsid w:val="0049477B"/>
    <w:rsid w:val="004966D7"/>
    <w:rsid w:val="004A3894"/>
    <w:rsid w:val="004B2352"/>
    <w:rsid w:val="004B53E0"/>
    <w:rsid w:val="004D0209"/>
    <w:rsid w:val="004D537D"/>
    <w:rsid w:val="004D5C51"/>
    <w:rsid w:val="004E5757"/>
    <w:rsid w:val="004E57E7"/>
    <w:rsid w:val="004E7F5A"/>
    <w:rsid w:val="004F0B6A"/>
    <w:rsid w:val="004F23B0"/>
    <w:rsid w:val="005024C8"/>
    <w:rsid w:val="005047AE"/>
    <w:rsid w:val="005061CA"/>
    <w:rsid w:val="00507677"/>
    <w:rsid w:val="00511C41"/>
    <w:rsid w:val="00515B41"/>
    <w:rsid w:val="0052612C"/>
    <w:rsid w:val="005329C6"/>
    <w:rsid w:val="005349CB"/>
    <w:rsid w:val="00535D80"/>
    <w:rsid w:val="00536350"/>
    <w:rsid w:val="005414AB"/>
    <w:rsid w:val="005437AF"/>
    <w:rsid w:val="00546FF1"/>
    <w:rsid w:val="00570957"/>
    <w:rsid w:val="005709C7"/>
    <w:rsid w:val="00573647"/>
    <w:rsid w:val="0057635B"/>
    <w:rsid w:val="005779D9"/>
    <w:rsid w:val="005803D8"/>
    <w:rsid w:val="0059491C"/>
    <w:rsid w:val="005A5CE4"/>
    <w:rsid w:val="005D0347"/>
    <w:rsid w:val="005D34FC"/>
    <w:rsid w:val="005E410E"/>
    <w:rsid w:val="005F2077"/>
    <w:rsid w:val="005F3356"/>
    <w:rsid w:val="005F76CA"/>
    <w:rsid w:val="0060087B"/>
    <w:rsid w:val="0061391D"/>
    <w:rsid w:val="0063087B"/>
    <w:rsid w:val="00631432"/>
    <w:rsid w:val="00641A2D"/>
    <w:rsid w:val="00651B62"/>
    <w:rsid w:val="00653BCD"/>
    <w:rsid w:val="00670E3C"/>
    <w:rsid w:val="0067154F"/>
    <w:rsid w:val="006823F5"/>
    <w:rsid w:val="00684ADC"/>
    <w:rsid w:val="00693B99"/>
    <w:rsid w:val="006C3FFE"/>
    <w:rsid w:val="006C4BE8"/>
    <w:rsid w:val="006C5C9F"/>
    <w:rsid w:val="006C6086"/>
    <w:rsid w:val="006D545A"/>
    <w:rsid w:val="006D78D5"/>
    <w:rsid w:val="006E3828"/>
    <w:rsid w:val="006E7534"/>
    <w:rsid w:val="006F5B0C"/>
    <w:rsid w:val="007011FB"/>
    <w:rsid w:val="0071030D"/>
    <w:rsid w:val="00717B27"/>
    <w:rsid w:val="0072296E"/>
    <w:rsid w:val="00725088"/>
    <w:rsid w:val="007268A0"/>
    <w:rsid w:val="00726B1D"/>
    <w:rsid w:val="00730BA7"/>
    <w:rsid w:val="0073496D"/>
    <w:rsid w:val="00740CD4"/>
    <w:rsid w:val="00740FB7"/>
    <w:rsid w:val="00745008"/>
    <w:rsid w:val="0075356B"/>
    <w:rsid w:val="00761B2D"/>
    <w:rsid w:val="007634A4"/>
    <w:rsid w:val="00763B08"/>
    <w:rsid w:val="00766A80"/>
    <w:rsid w:val="007728F9"/>
    <w:rsid w:val="007935F4"/>
    <w:rsid w:val="007B1DC6"/>
    <w:rsid w:val="007B24BF"/>
    <w:rsid w:val="007C1A57"/>
    <w:rsid w:val="007C3458"/>
    <w:rsid w:val="007C4875"/>
    <w:rsid w:val="007D58D9"/>
    <w:rsid w:val="007E6608"/>
    <w:rsid w:val="007F4AB0"/>
    <w:rsid w:val="007F545A"/>
    <w:rsid w:val="00804076"/>
    <w:rsid w:val="00805D67"/>
    <w:rsid w:val="00806542"/>
    <w:rsid w:val="00807241"/>
    <w:rsid w:val="00807512"/>
    <w:rsid w:val="00810D5B"/>
    <w:rsid w:val="00812EAB"/>
    <w:rsid w:val="00817552"/>
    <w:rsid w:val="00827F9E"/>
    <w:rsid w:val="00834D11"/>
    <w:rsid w:val="00836B3F"/>
    <w:rsid w:val="00837D82"/>
    <w:rsid w:val="008433CE"/>
    <w:rsid w:val="00843438"/>
    <w:rsid w:val="00844BA9"/>
    <w:rsid w:val="00873C4B"/>
    <w:rsid w:val="00877008"/>
    <w:rsid w:val="00882433"/>
    <w:rsid w:val="0088275E"/>
    <w:rsid w:val="008828D4"/>
    <w:rsid w:val="00892F79"/>
    <w:rsid w:val="00893239"/>
    <w:rsid w:val="008A5097"/>
    <w:rsid w:val="008A65C2"/>
    <w:rsid w:val="008B00A8"/>
    <w:rsid w:val="008B1950"/>
    <w:rsid w:val="008B6384"/>
    <w:rsid w:val="008C1DC0"/>
    <w:rsid w:val="008C2020"/>
    <w:rsid w:val="008C2796"/>
    <w:rsid w:val="008C690C"/>
    <w:rsid w:val="008C77BF"/>
    <w:rsid w:val="008D1EEE"/>
    <w:rsid w:val="008E2A72"/>
    <w:rsid w:val="008E4999"/>
    <w:rsid w:val="008E6644"/>
    <w:rsid w:val="008F074C"/>
    <w:rsid w:val="008F5A3E"/>
    <w:rsid w:val="009024E9"/>
    <w:rsid w:val="00914FFB"/>
    <w:rsid w:val="0091538C"/>
    <w:rsid w:val="009170A6"/>
    <w:rsid w:val="009268AC"/>
    <w:rsid w:val="00955C9D"/>
    <w:rsid w:val="00960840"/>
    <w:rsid w:val="00982E77"/>
    <w:rsid w:val="009842D9"/>
    <w:rsid w:val="00984373"/>
    <w:rsid w:val="00991D8F"/>
    <w:rsid w:val="00994352"/>
    <w:rsid w:val="009958FD"/>
    <w:rsid w:val="0099590B"/>
    <w:rsid w:val="009B2A4B"/>
    <w:rsid w:val="009B7974"/>
    <w:rsid w:val="009B7C78"/>
    <w:rsid w:val="009C5225"/>
    <w:rsid w:val="009D1F70"/>
    <w:rsid w:val="009D3414"/>
    <w:rsid w:val="009E721B"/>
    <w:rsid w:val="009F1C28"/>
    <w:rsid w:val="00A0113E"/>
    <w:rsid w:val="00A11ABF"/>
    <w:rsid w:val="00A13A7D"/>
    <w:rsid w:val="00A14996"/>
    <w:rsid w:val="00A30C7C"/>
    <w:rsid w:val="00A4422B"/>
    <w:rsid w:val="00A536E9"/>
    <w:rsid w:val="00A600AF"/>
    <w:rsid w:val="00A7352D"/>
    <w:rsid w:val="00A80D5E"/>
    <w:rsid w:val="00A9391D"/>
    <w:rsid w:val="00A95540"/>
    <w:rsid w:val="00AA7749"/>
    <w:rsid w:val="00AB3E24"/>
    <w:rsid w:val="00AB7C37"/>
    <w:rsid w:val="00AC0578"/>
    <w:rsid w:val="00AD1555"/>
    <w:rsid w:val="00AD7113"/>
    <w:rsid w:val="00AD7B46"/>
    <w:rsid w:val="00AD7CA7"/>
    <w:rsid w:val="00AF3506"/>
    <w:rsid w:val="00AF5682"/>
    <w:rsid w:val="00AF61AA"/>
    <w:rsid w:val="00B013AA"/>
    <w:rsid w:val="00B11367"/>
    <w:rsid w:val="00B11657"/>
    <w:rsid w:val="00B11B98"/>
    <w:rsid w:val="00B11DEB"/>
    <w:rsid w:val="00B1692D"/>
    <w:rsid w:val="00B202BD"/>
    <w:rsid w:val="00B246CC"/>
    <w:rsid w:val="00B35ABE"/>
    <w:rsid w:val="00B819EB"/>
    <w:rsid w:val="00BB14B0"/>
    <w:rsid w:val="00BB65C9"/>
    <w:rsid w:val="00BC6AAF"/>
    <w:rsid w:val="00BD2304"/>
    <w:rsid w:val="00BD4007"/>
    <w:rsid w:val="00BE43BA"/>
    <w:rsid w:val="00BF03C9"/>
    <w:rsid w:val="00BF0E51"/>
    <w:rsid w:val="00BF7B78"/>
    <w:rsid w:val="00C0005D"/>
    <w:rsid w:val="00C02097"/>
    <w:rsid w:val="00C03EAF"/>
    <w:rsid w:val="00C05378"/>
    <w:rsid w:val="00C156DE"/>
    <w:rsid w:val="00C158E6"/>
    <w:rsid w:val="00C15A3D"/>
    <w:rsid w:val="00C16B59"/>
    <w:rsid w:val="00C208BB"/>
    <w:rsid w:val="00C269A6"/>
    <w:rsid w:val="00C26F74"/>
    <w:rsid w:val="00C3242C"/>
    <w:rsid w:val="00C338BC"/>
    <w:rsid w:val="00C40169"/>
    <w:rsid w:val="00C471AB"/>
    <w:rsid w:val="00C50091"/>
    <w:rsid w:val="00C54F2F"/>
    <w:rsid w:val="00C61F21"/>
    <w:rsid w:val="00C836BF"/>
    <w:rsid w:val="00C837C5"/>
    <w:rsid w:val="00C85AEB"/>
    <w:rsid w:val="00C90953"/>
    <w:rsid w:val="00C91172"/>
    <w:rsid w:val="00C939D1"/>
    <w:rsid w:val="00C93C74"/>
    <w:rsid w:val="00C956A4"/>
    <w:rsid w:val="00CA2A9A"/>
    <w:rsid w:val="00CB0BB7"/>
    <w:rsid w:val="00CB70A2"/>
    <w:rsid w:val="00CB7CE3"/>
    <w:rsid w:val="00CC52D7"/>
    <w:rsid w:val="00CC54B2"/>
    <w:rsid w:val="00CE1D17"/>
    <w:rsid w:val="00CE41A9"/>
    <w:rsid w:val="00CF4A0D"/>
    <w:rsid w:val="00CF6468"/>
    <w:rsid w:val="00CF7287"/>
    <w:rsid w:val="00D01096"/>
    <w:rsid w:val="00D05C3D"/>
    <w:rsid w:val="00D10E7A"/>
    <w:rsid w:val="00D20930"/>
    <w:rsid w:val="00D2129B"/>
    <w:rsid w:val="00D25F29"/>
    <w:rsid w:val="00D3756A"/>
    <w:rsid w:val="00D43037"/>
    <w:rsid w:val="00D46D29"/>
    <w:rsid w:val="00D54357"/>
    <w:rsid w:val="00D650BE"/>
    <w:rsid w:val="00D65721"/>
    <w:rsid w:val="00D6746F"/>
    <w:rsid w:val="00D80969"/>
    <w:rsid w:val="00D83728"/>
    <w:rsid w:val="00D84F1E"/>
    <w:rsid w:val="00D906BB"/>
    <w:rsid w:val="00D90DAD"/>
    <w:rsid w:val="00D9418E"/>
    <w:rsid w:val="00D97A7A"/>
    <w:rsid w:val="00DA2F46"/>
    <w:rsid w:val="00DA3C61"/>
    <w:rsid w:val="00DB0E26"/>
    <w:rsid w:val="00DB10EE"/>
    <w:rsid w:val="00DC2932"/>
    <w:rsid w:val="00DC33AF"/>
    <w:rsid w:val="00DC5B70"/>
    <w:rsid w:val="00DD1EF3"/>
    <w:rsid w:val="00DF08DF"/>
    <w:rsid w:val="00DF5418"/>
    <w:rsid w:val="00DF64E8"/>
    <w:rsid w:val="00DF6BE3"/>
    <w:rsid w:val="00E00493"/>
    <w:rsid w:val="00E13D70"/>
    <w:rsid w:val="00E163D5"/>
    <w:rsid w:val="00E20116"/>
    <w:rsid w:val="00E21DAB"/>
    <w:rsid w:val="00E71F0C"/>
    <w:rsid w:val="00E740F6"/>
    <w:rsid w:val="00EA38F2"/>
    <w:rsid w:val="00EB2790"/>
    <w:rsid w:val="00EB2AC0"/>
    <w:rsid w:val="00EB502D"/>
    <w:rsid w:val="00EB6D80"/>
    <w:rsid w:val="00EE36BB"/>
    <w:rsid w:val="00EE6312"/>
    <w:rsid w:val="00EF0087"/>
    <w:rsid w:val="00EF3969"/>
    <w:rsid w:val="00EF4FF1"/>
    <w:rsid w:val="00EF5141"/>
    <w:rsid w:val="00EF6336"/>
    <w:rsid w:val="00F01E46"/>
    <w:rsid w:val="00F01EF4"/>
    <w:rsid w:val="00F0504F"/>
    <w:rsid w:val="00F20DEC"/>
    <w:rsid w:val="00F349AC"/>
    <w:rsid w:val="00F43D24"/>
    <w:rsid w:val="00F66C86"/>
    <w:rsid w:val="00F722A2"/>
    <w:rsid w:val="00F82EDE"/>
    <w:rsid w:val="00F8317F"/>
    <w:rsid w:val="00F90952"/>
    <w:rsid w:val="00F915EC"/>
    <w:rsid w:val="00F94FBA"/>
    <w:rsid w:val="00FA1608"/>
    <w:rsid w:val="00FA497B"/>
    <w:rsid w:val="00FB2E2D"/>
    <w:rsid w:val="00FB536D"/>
    <w:rsid w:val="00FC0D41"/>
    <w:rsid w:val="00FC2BAC"/>
    <w:rsid w:val="00FC5EF4"/>
    <w:rsid w:val="00FD20F2"/>
    <w:rsid w:val="00FD2787"/>
    <w:rsid w:val="00FD560E"/>
    <w:rsid w:val="00FD75E0"/>
    <w:rsid w:val="00FE331A"/>
    <w:rsid w:val="00FE4874"/>
    <w:rsid w:val="00FE5122"/>
    <w:rsid w:val="00FF0887"/>
    <w:rsid w:val="64ADB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FB1C77"/>
  <w15:docId w15:val="{CDA8050C-E11D-4E23-B462-CE942DEC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CE"/>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E13D70"/>
    <w:pPr>
      <w:keepNext/>
      <w:keepLines/>
      <w:spacing w:before="240" w:after="18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3D70"/>
    <w:pPr>
      <w:keepNext/>
      <w:keepLines/>
      <w:spacing w:before="40" w:after="120"/>
      <w:outlineLvl w:val="1"/>
    </w:pPr>
    <w:rPr>
      <w:rFonts w:asciiTheme="majorHAnsi" w:eastAsiaTheme="majorEastAsia" w:hAnsiTheme="majorHAnsi" w:cstheme="majorBidi"/>
      <w:b/>
      <w:color w:val="ED7D31" w:themeColor="accent2"/>
      <w:sz w:val="26"/>
      <w:szCs w:val="26"/>
    </w:rPr>
  </w:style>
  <w:style w:type="paragraph" w:styleId="Heading3">
    <w:name w:val="heading 3"/>
    <w:basedOn w:val="Normal"/>
    <w:next w:val="Normal"/>
    <w:link w:val="Heading3Char"/>
    <w:uiPriority w:val="9"/>
    <w:unhideWhenUsed/>
    <w:qFormat/>
    <w:rsid w:val="00E13D70"/>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09C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D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6B1D"/>
    <w:pPr>
      <w:ind w:left="720"/>
      <w:contextualSpacing/>
    </w:pPr>
  </w:style>
  <w:style w:type="character" w:customStyle="1" w:styleId="Heading2Char">
    <w:name w:val="Heading 2 Char"/>
    <w:basedOn w:val="DefaultParagraphFont"/>
    <w:link w:val="Heading2"/>
    <w:uiPriority w:val="9"/>
    <w:rsid w:val="00E13D70"/>
    <w:rPr>
      <w:rFonts w:asciiTheme="majorHAnsi" w:eastAsiaTheme="majorEastAsia" w:hAnsiTheme="majorHAnsi" w:cstheme="majorBidi"/>
      <w:b/>
      <w:color w:val="ED7D31" w:themeColor="accent2"/>
      <w:sz w:val="26"/>
      <w:szCs w:val="26"/>
    </w:rPr>
  </w:style>
  <w:style w:type="character" w:customStyle="1" w:styleId="Heading3Char">
    <w:name w:val="Heading 3 Char"/>
    <w:basedOn w:val="DefaultParagraphFont"/>
    <w:link w:val="Heading3"/>
    <w:uiPriority w:val="9"/>
    <w:rsid w:val="00E13D7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750E1"/>
    <w:rPr>
      <w:color w:val="0563C1" w:themeColor="hyperlink"/>
      <w:u w:val="single"/>
    </w:rPr>
  </w:style>
  <w:style w:type="paragraph" w:styleId="TOCHeading">
    <w:name w:val="TOC Heading"/>
    <w:basedOn w:val="Heading1"/>
    <w:next w:val="Normal"/>
    <w:uiPriority w:val="39"/>
    <w:unhideWhenUsed/>
    <w:qFormat/>
    <w:rsid w:val="00BE43BA"/>
    <w:pPr>
      <w:spacing w:line="259" w:lineRule="auto"/>
      <w:outlineLvl w:val="9"/>
    </w:pPr>
  </w:style>
  <w:style w:type="paragraph" w:styleId="TOC1">
    <w:name w:val="toc 1"/>
    <w:basedOn w:val="Normal"/>
    <w:next w:val="Normal"/>
    <w:autoRedefine/>
    <w:uiPriority w:val="39"/>
    <w:unhideWhenUsed/>
    <w:rsid w:val="00BE43BA"/>
    <w:pPr>
      <w:spacing w:after="100"/>
    </w:pPr>
  </w:style>
  <w:style w:type="paragraph" w:styleId="TOC2">
    <w:name w:val="toc 2"/>
    <w:basedOn w:val="Normal"/>
    <w:next w:val="Normal"/>
    <w:autoRedefine/>
    <w:uiPriority w:val="39"/>
    <w:unhideWhenUsed/>
    <w:rsid w:val="00BE43BA"/>
    <w:pPr>
      <w:spacing w:after="100"/>
      <w:ind w:left="220"/>
    </w:pPr>
  </w:style>
  <w:style w:type="paragraph" w:styleId="TOC3">
    <w:name w:val="toc 3"/>
    <w:basedOn w:val="Normal"/>
    <w:next w:val="Normal"/>
    <w:autoRedefine/>
    <w:uiPriority w:val="39"/>
    <w:unhideWhenUsed/>
    <w:rsid w:val="00BE43BA"/>
    <w:pPr>
      <w:spacing w:after="100"/>
      <w:ind w:left="440"/>
    </w:pPr>
  </w:style>
  <w:style w:type="table" w:styleId="TableGrid">
    <w:name w:val="Table Grid"/>
    <w:basedOn w:val="TableNormal"/>
    <w:uiPriority w:val="39"/>
    <w:rsid w:val="00D90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54FE"/>
    <w:rPr>
      <w:rFonts w:ascii="Tahoma" w:hAnsi="Tahoma" w:cs="Tahoma"/>
      <w:sz w:val="16"/>
      <w:szCs w:val="16"/>
    </w:rPr>
  </w:style>
  <w:style w:type="character" w:customStyle="1" w:styleId="BalloonTextChar">
    <w:name w:val="Balloon Text Char"/>
    <w:basedOn w:val="DefaultParagraphFont"/>
    <w:link w:val="BalloonText"/>
    <w:uiPriority w:val="99"/>
    <w:semiHidden/>
    <w:rsid w:val="003B54FE"/>
    <w:rPr>
      <w:rFonts w:ascii="Tahoma" w:hAnsi="Tahoma" w:cs="Tahoma"/>
      <w:sz w:val="16"/>
      <w:szCs w:val="16"/>
    </w:rPr>
  </w:style>
  <w:style w:type="paragraph" w:styleId="NoSpacing">
    <w:name w:val="No Spacing"/>
    <w:rsid w:val="007C1A57"/>
    <w:pPr>
      <w:suppressAutoHyphens/>
      <w:autoSpaceDN w:val="0"/>
      <w:spacing w:after="0" w:line="240" w:lineRule="auto"/>
      <w:textAlignment w:val="baseline"/>
    </w:pPr>
    <w:rPr>
      <w:rFonts w:ascii="Calibri" w:eastAsia="Times New Roman" w:hAnsi="Calibri" w:cs="Times New Roman"/>
    </w:rPr>
  </w:style>
  <w:style w:type="paragraph" w:styleId="PlainText">
    <w:name w:val="Plain Text"/>
    <w:basedOn w:val="Normal"/>
    <w:link w:val="PlainTextChar"/>
    <w:uiPriority w:val="99"/>
    <w:semiHidden/>
    <w:unhideWhenUsed/>
    <w:rsid w:val="007C1A57"/>
    <w:rPr>
      <w:rFonts w:eastAsiaTheme="minorEastAsia"/>
      <w:szCs w:val="21"/>
    </w:rPr>
  </w:style>
  <w:style w:type="character" w:customStyle="1" w:styleId="PlainTextChar">
    <w:name w:val="Plain Text Char"/>
    <w:basedOn w:val="DefaultParagraphFont"/>
    <w:link w:val="PlainText"/>
    <w:uiPriority w:val="99"/>
    <w:semiHidden/>
    <w:rsid w:val="007C1A57"/>
    <w:rPr>
      <w:rFonts w:ascii="Calibri" w:eastAsiaTheme="minorEastAsia" w:hAnsi="Calibri" w:cs="Times New Roman"/>
      <w:szCs w:val="21"/>
    </w:rPr>
  </w:style>
  <w:style w:type="character" w:styleId="FollowedHyperlink">
    <w:name w:val="FollowedHyperlink"/>
    <w:basedOn w:val="DefaultParagraphFont"/>
    <w:uiPriority w:val="99"/>
    <w:semiHidden/>
    <w:unhideWhenUsed/>
    <w:rsid w:val="00AB3E24"/>
    <w:rPr>
      <w:color w:val="954F72" w:themeColor="followedHyperlink"/>
      <w:u w:val="single"/>
    </w:rPr>
  </w:style>
  <w:style w:type="table" w:styleId="LightShading-Accent3">
    <w:name w:val="Light Shading Accent 3"/>
    <w:basedOn w:val="TableNormal"/>
    <w:uiPriority w:val="60"/>
    <w:rsid w:val="00DF08D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1">
    <w:name w:val="Light Shading Accent 1"/>
    <w:basedOn w:val="TableNormal"/>
    <w:uiPriority w:val="60"/>
    <w:rsid w:val="00DF08D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3">
    <w:name w:val="Medium Shading 2 Accent 3"/>
    <w:basedOn w:val="TableNormal"/>
    <w:uiPriority w:val="64"/>
    <w:rsid w:val="00DF08D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7E6608"/>
    <w:pPr>
      <w:tabs>
        <w:tab w:val="center" w:pos="4680"/>
        <w:tab w:val="right" w:pos="9360"/>
      </w:tabs>
    </w:pPr>
  </w:style>
  <w:style w:type="character" w:customStyle="1" w:styleId="HeaderChar">
    <w:name w:val="Header Char"/>
    <w:basedOn w:val="DefaultParagraphFont"/>
    <w:link w:val="Header"/>
    <w:uiPriority w:val="99"/>
    <w:rsid w:val="007E6608"/>
    <w:rPr>
      <w:rFonts w:ascii="Calibri" w:hAnsi="Calibri" w:cs="Times New Roman"/>
    </w:rPr>
  </w:style>
  <w:style w:type="paragraph" w:styleId="Footer">
    <w:name w:val="footer"/>
    <w:basedOn w:val="Normal"/>
    <w:link w:val="FooterChar"/>
    <w:uiPriority w:val="99"/>
    <w:unhideWhenUsed/>
    <w:rsid w:val="007E6608"/>
    <w:pPr>
      <w:tabs>
        <w:tab w:val="center" w:pos="4680"/>
        <w:tab w:val="right" w:pos="9360"/>
      </w:tabs>
    </w:pPr>
  </w:style>
  <w:style w:type="character" w:customStyle="1" w:styleId="FooterChar">
    <w:name w:val="Footer Char"/>
    <w:basedOn w:val="DefaultParagraphFont"/>
    <w:link w:val="Footer"/>
    <w:uiPriority w:val="99"/>
    <w:rsid w:val="007E6608"/>
    <w:rPr>
      <w:rFonts w:ascii="Calibri" w:hAnsi="Calibri" w:cs="Times New Roman"/>
    </w:rPr>
  </w:style>
  <w:style w:type="table" w:styleId="GridTable1Light-Accent1">
    <w:name w:val="Grid Table 1 Light Accent 1"/>
    <w:basedOn w:val="TableNormal"/>
    <w:uiPriority w:val="46"/>
    <w:rsid w:val="000D236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5709C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EF3969"/>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C50091"/>
    <w:rPr>
      <w:b/>
      <w:bCs/>
    </w:rPr>
  </w:style>
  <w:style w:type="character" w:styleId="Mention">
    <w:name w:val="Mention"/>
    <w:basedOn w:val="DefaultParagraphFont"/>
    <w:uiPriority w:val="99"/>
    <w:semiHidden/>
    <w:unhideWhenUsed/>
    <w:rsid w:val="00991D8F"/>
    <w:rPr>
      <w:color w:val="2B579A"/>
      <w:shd w:val="clear" w:color="auto" w:fill="E6E6E6"/>
    </w:rPr>
  </w:style>
  <w:style w:type="character" w:styleId="UnresolvedMention">
    <w:name w:val="Unresolved Mention"/>
    <w:basedOn w:val="DefaultParagraphFont"/>
    <w:uiPriority w:val="99"/>
    <w:semiHidden/>
    <w:unhideWhenUsed/>
    <w:rsid w:val="007B24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6171">
      <w:bodyDiv w:val="1"/>
      <w:marLeft w:val="0"/>
      <w:marRight w:val="0"/>
      <w:marTop w:val="0"/>
      <w:marBottom w:val="0"/>
      <w:divBdr>
        <w:top w:val="none" w:sz="0" w:space="0" w:color="auto"/>
        <w:left w:val="none" w:sz="0" w:space="0" w:color="auto"/>
        <w:bottom w:val="none" w:sz="0" w:space="0" w:color="auto"/>
        <w:right w:val="none" w:sz="0" w:space="0" w:color="auto"/>
      </w:divBdr>
    </w:div>
    <w:div w:id="209465038">
      <w:bodyDiv w:val="1"/>
      <w:marLeft w:val="0"/>
      <w:marRight w:val="0"/>
      <w:marTop w:val="0"/>
      <w:marBottom w:val="0"/>
      <w:divBdr>
        <w:top w:val="none" w:sz="0" w:space="0" w:color="auto"/>
        <w:left w:val="none" w:sz="0" w:space="0" w:color="auto"/>
        <w:bottom w:val="none" w:sz="0" w:space="0" w:color="auto"/>
        <w:right w:val="none" w:sz="0" w:space="0" w:color="auto"/>
      </w:divBdr>
    </w:div>
    <w:div w:id="289091308">
      <w:bodyDiv w:val="1"/>
      <w:marLeft w:val="0"/>
      <w:marRight w:val="0"/>
      <w:marTop w:val="0"/>
      <w:marBottom w:val="0"/>
      <w:divBdr>
        <w:top w:val="none" w:sz="0" w:space="0" w:color="auto"/>
        <w:left w:val="none" w:sz="0" w:space="0" w:color="auto"/>
        <w:bottom w:val="none" w:sz="0" w:space="0" w:color="auto"/>
        <w:right w:val="none" w:sz="0" w:space="0" w:color="auto"/>
      </w:divBdr>
    </w:div>
    <w:div w:id="404029786">
      <w:bodyDiv w:val="1"/>
      <w:marLeft w:val="0"/>
      <w:marRight w:val="0"/>
      <w:marTop w:val="0"/>
      <w:marBottom w:val="0"/>
      <w:divBdr>
        <w:top w:val="none" w:sz="0" w:space="0" w:color="auto"/>
        <w:left w:val="none" w:sz="0" w:space="0" w:color="auto"/>
        <w:bottom w:val="none" w:sz="0" w:space="0" w:color="auto"/>
        <w:right w:val="none" w:sz="0" w:space="0" w:color="auto"/>
      </w:divBdr>
    </w:div>
    <w:div w:id="425923069">
      <w:bodyDiv w:val="1"/>
      <w:marLeft w:val="0"/>
      <w:marRight w:val="0"/>
      <w:marTop w:val="0"/>
      <w:marBottom w:val="0"/>
      <w:divBdr>
        <w:top w:val="none" w:sz="0" w:space="0" w:color="auto"/>
        <w:left w:val="none" w:sz="0" w:space="0" w:color="auto"/>
        <w:bottom w:val="none" w:sz="0" w:space="0" w:color="auto"/>
        <w:right w:val="none" w:sz="0" w:space="0" w:color="auto"/>
      </w:divBdr>
    </w:div>
    <w:div w:id="436827626">
      <w:bodyDiv w:val="1"/>
      <w:marLeft w:val="0"/>
      <w:marRight w:val="0"/>
      <w:marTop w:val="0"/>
      <w:marBottom w:val="0"/>
      <w:divBdr>
        <w:top w:val="none" w:sz="0" w:space="0" w:color="auto"/>
        <w:left w:val="none" w:sz="0" w:space="0" w:color="auto"/>
        <w:bottom w:val="none" w:sz="0" w:space="0" w:color="auto"/>
        <w:right w:val="none" w:sz="0" w:space="0" w:color="auto"/>
      </w:divBdr>
    </w:div>
    <w:div w:id="480578208">
      <w:bodyDiv w:val="1"/>
      <w:marLeft w:val="0"/>
      <w:marRight w:val="0"/>
      <w:marTop w:val="0"/>
      <w:marBottom w:val="0"/>
      <w:divBdr>
        <w:top w:val="none" w:sz="0" w:space="0" w:color="auto"/>
        <w:left w:val="none" w:sz="0" w:space="0" w:color="auto"/>
        <w:bottom w:val="none" w:sz="0" w:space="0" w:color="auto"/>
        <w:right w:val="none" w:sz="0" w:space="0" w:color="auto"/>
      </w:divBdr>
    </w:div>
    <w:div w:id="548684958">
      <w:bodyDiv w:val="1"/>
      <w:marLeft w:val="0"/>
      <w:marRight w:val="0"/>
      <w:marTop w:val="0"/>
      <w:marBottom w:val="0"/>
      <w:divBdr>
        <w:top w:val="none" w:sz="0" w:space="0" w:color="auto"/>
        <w:left w:val="none" w:sz="0" w:space="0" w:color="auto"/>
        <w:bottom w:val="none" w:sz="0" w:space="0" w:color="auto"/>
        <w:right w:val="none" w:sz="0" w:space="0" w:color="auto"/>
      </w:divBdr>
    </w:div>
    <w:div w:id="634528103">
      <w:bodyDiv w:val="1"/>
      <w:marLeft w:val="0"/>
      <w:marRight w:val="0"/>
      <w:marTop w:val="0"/>
      <w:marBottom w:val="0"/>
      <w:divBdr>
        <w:top w:val="none" w:sz="0" w:space="0" w:color="auto"/>
        <w:left w:val="none" w:sz="0" w:space="0" w:color="auto"/>
        <w:bottom w:val="none" w:sz="0" w:space="0" w:color="auto"/>
        <w:right w:val="none" w:sz="0" w:space="0" w:color="auto"/>
      </w:divBdr>
    </w:div>
    <w:div w:id="813792004">
      <w:bodyDiv w:val="1"/>
      <w:marLeft w:val="0"/>
      <w:marRight w:val="0"/>
      <w:marTop w:val="0"/>
      <w:marBottom w:val="0"/>
      <w:divBdr>
        <w:top w:val="none" w:sz="0" w:space="0" w:color="auto"/>
        <w:left w:val="none" w:sz="0" w:space="0" w:color="auto"/>
        <w:bottom w:val="none" w:sz="0" w:space="0" w:color="auto"/>
        <w:right w:val="none" w:sz="0" w:space="0" w:color="auto"/>
      </w:divBdr>
    </w:div>
    <w:div w:id="837421271">
      <w:bodyDiv w:val="1"/>
      <w:marLeft w:val="0"/>
      <w:marRight w:val="0"/>
      <w:marTop w:val="0"/>
      <w:marBottom w:val="0"/>
      <w:divBdr>
        <w:top w:val="none" w:sz="0" w:space="0" w:color="auto"/>
        <w:left w:val="none" w:sz="0" w:space="0" w:color="auto"/>
        <w:bottom w:val="none" w:sz="0" w:space="0" w:color="auto"/>
        <w:right w:val="none" w:sz="0" w:space="0" w:color="auto"/>
      </w:divBdr>
    </w:div>
    <w:div w:id="880748056">
      <w:bodyDiv w:val="1"/>
      <w:marLeft w:val="0"/>
      <w:marRight w:val="0"/>
      <w:marTop w:val="0"/>
      <w:marBottom w:val="0"/>
      <w:divBdr>
        <w:top w:val="none" w:sz="0" w:space="0" w:color="auto"/>
        <w:left w:val="none" w:sz="0" w:space="0" w:color="auto"/>
        <w:bottom w:val="none" w:sz="0" w:space="0" w:color="auto"/>
        <w:right w:val="none" w:sz="0" w:space="0" w:color="auto"/>
      </w:divBdr>
    </w:div>
    <w:div w:id="950090776">
      <w:bodyDiv w:val="1"/>
      <w:marLeft w:val="0"/>
      <w:marRight w:val="0"/>
      <w:marTop w:val="0"/>
      <w:marBottom w:val="0"/>
      <w:divBdr>
        <w:top w:val="none" w:sz="0" w:space="0" w:color="auto"/>
        <w:left w:val="none" w:sz="0" w:space="0" w:color="auto"/>
        <w:bottom w:val="none" w:sz="0" w:space="0" w:color="auto"/>
        <w:right w:val="none" w:sz="0" w:space="0" w:color="auto"/>
      </w:divBdr>
    </w:div>
    <w:div w:id="981231382">
      <w:bodyDiv w:val="1"/>
      <w:marLeft w:val="0"/>
      <w:marRight w:val="0"/>
      <w:marTop w:val="0"/>
      <w:marBottom w:val="0"/>
      <w:divBdr>
        <w:top w:val="none" w:sz="0" w:space="0" w:color="auto"/>
        <w:left w:val="none" w:sz="0" w:space="0" w:color="auto"/>
        <w:bottom w:val="none" w:sz="0" w:space="0" w:color="auto"/>
        <w:right w:val="none" w:sz="0" w:space="0" w:color="auto"/>
      </w:divBdr>
    </w:div>
    <w:div w:id="1103303572">
      <w:bodyDiv w:val="1"/>
      <w:marLeft w:val="0"/>
      <w:marRight w:val="0"/>
      <w:marTop w:val="0"/>
      <w:marBottom w:val="0"/>
      <w:divBdr>
        <w:top w:val="none" w:sz="0" w:space="0" w:color="auto"/>
        <w:left w:val="none" w:sz="0" w:space="0" w:color="auto"/>
        <w:bottom w:val="none" w:sz="0" w:space="0" w:color="auto"/>
        <w:right w:val="none" w:sz="0" w:space="0" w:color="auto"/>
      </w:divBdr>
    </w:div>
    <w:div w:id="1192959630">
      <w:bodyDiv w:val="1"/>
      <w:marLeft w:val="0"/>
      <w:marRight w:val="0"/>
      <w:marTop w:val="0"/>
      <w:marBottom w:val="0"/>
      <w:divBdr>
        <w:top w:val="none" w:sz="0" w:space="0" w:color="auto"/>
        <w:left w:val="none" w:sz="0" w:space="0" w:color="auto"/>
        <w:bottom w:val="none" w:sz="0" w:space="0" w:color="auto"/>
        <w:right w:val="none" w:sz="0" w:space="0" w:color="auto"/>
      </w:divBdr>
    </w:div>
    <w:div w:id="1260601311">
      <w:bodyDiv w:val="1"/>
      <w:marLeft w:val="0"/>
      <w:marRight w:val="0"/>
      <w:marTop w:val="0"/>
      <w:marBottom w:val="0"/>
      <w:divBdr>
        <w:top w:val="none" w:sz="0" w:space="0" w:color="auto"/>
        <w:left w:val="none" w:sz="0" w:space="0" w:color="auto"/>
        <w:bottom w:val="none" w:sz="0" w:space="0" w:color="auto"/>
        <w:right w:val="none" w:sz="0" w:space="0" w:color="auto"/>
      </w:divBdr>
    </w:div>
    <w:div w:id="1286737195">
      <w:bodyDiv w:val="1"/>
      <w:marLeft w:val="0"/>
      <w:marRight w:val="0"/>
      <w:marTop w:val="0"/>
      <w:marBottom w:val="0"/>
      <w:divBdr>
        <w:top w:val="none" w:sz="0" w:space="0" w:color="auto"/>
        <w:left w:val="none" w:sz="0" w:space="0" w:color="auto"/>
        <w:bottom w:val="none" w:sz="0" w:space="0" w:color="auto"/>
        <w:right w:val="none" w:sz="0" w:space="0" w:color="auto"/>
      </w:divBdr>
    </w:div>
    <w:div w:id="1361928832">
      <w:bodyDiv w:val="1"/>
      <w:marLeft w:val="0"/>
      <w:marRight w:val="0"/>
      <w:marTop w:val="0"/>
      <w:marBottom w:val="0"/>
      <w:divBdr>
        <w:top w:val="none" w:sz="0" w:space="0" w:color="auto"/>
        <w:left w:val="none" w:sz="0" w:space="0" w:color="auto"/>
        <w:bottom w:val="none" w:sz="0" w:space="0" w:color="auto"/>
        <w:right w:val="none" w:sz="0" w:space="0" w:color="auto"/>
      </w:divBdr>
    </w:div>
    <w:div w:id="1735614795">
      <w:bodyDiv w:val="1"/>
      <w:marLeft w:val="0"/>
      <w:marRight w:val="0"/>
      <w:marTop w:val="0"/>
      <w:marBottom w:val="0"/>
      <w:divBdr>
        <w:top w:val="none" w:sz="0" w:space="0" w:color="auto"/>
        <w:left w:val="none" w:sz="0" w:space="0" w:color="auto"/>
        <w:bottom w:val="none" w:sz="0" w:space="0" w:color="auto"/>
        <w:right w:val="none" w:sz="0" w:space="0" w:color="auto"/>
      </w:divBdr>
    </w:div>
    <w:div w:id="1834450854">
      <w:bodyDiv w:val="1"/>
      <w:marLeft w:val="0"/>
      <w:marRight w:val="0"/>
      <w:marTop w:val="0"/>
      <w:marBottom w:val="0"/>
      <w:divBdr>
        <w:top w:val="none" w:sz="0" w:space="0" w:color="auto"/>
        <w:left w:val="none" w:sz="0" w:space="0" w:color="auto"/>
        <w:bottom w:val="none" w:sz="0" w:space="0" w:color="auto"/>
        <w:right w:val="none" w:sz="0" w:space="0" w:color="auto"/>
      </w:divBdr>
    </w:div>
    <w:div w:id="203715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Software_licens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bruced@zumasys.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Metadata"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5F00EDA9A5A41A9C52D958657C982" ma:contentTypeVersion="16" ma:contentTypeDescription="Create a new document." ma:contentTypeScope="" ma:versionID="8e4e589a4af90e4e5ddb43c558098fbe">
  <xsd:schema xmlns:xsd="http://www.w3.org/2001/XMLSchema" xmlns:xs="http://www.w3.org/2001/XMLSchema" xmlns:p="http://schemas.microsoft.com/office/2006/metadata/properties" xmlns:ns1="http://schemas.microsoft.com/sharepoint/v3" xmlns:ns3="003e66e7-9177-43cc-a9c3-be58f5fe7fb4" xmlns:ns4="bd772ff2-97d9-45af-a7b5-52fa293da6cc" targetNamespace="http://schemas.microsoft.com/office/2006/metadata/properties" ma:root="true" ma:fieldsID="d064339dd7a209fbef8dcbe9fcb737dd" ns1:_="" ns3:_="" ns4:_="">
    <xsd:import namespace="http://schemas.microsoft.com/sharepoint/v3"/>
    <xsd:import namespace="003e66e7-9177-43cc-a9c3-be58f5fe7fb4"/>
    <xsd:import namespace="bd772ff2-97d9-45af-a7b5-52fa293da6cc"/>
    <xsd:element name="properties">
      <xsd:complexType>
        <xsd:sequence>
          <xsd:element name="documentManagement">
            <xsd:complexType>
              <xsd:all>
                <xsd:element ref="ns3:SharedWithDetails" minOccurs="0"/>
                <xsd:element ref="ns3:SharedWithUser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e66e7-9177-43cc-a9c3-be58f5fe7fb4"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772ff2-97d9-45af-a7b5-52fa293da6c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A1CBC-E11F-405E-8B6E-0AD2265A0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3e66e7-9177-43cc-a9c3-be58f5fe7fb4"/>
    <ds:schemaRef ds:uri="bd772ff2-97d9-45af-a7b5-52fa293da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ECBC58-0BE5-492B-8128-54357F656193}">
  <ds:schemaRefs>
    <ds:schemaRef ds:uri="http://schemas.microsoft.com/sharepoint/v3/contenttype/forms"/>
  </ds:schemaRefs>
</ds:datastoreItem>
</file>

<file path=customXml/itemProps3.xml><?xml version="1.0" encoding="utf-8"?>
<ds:datastoreItem xmlns:ds="http://schemas.openxmlformats.org/officeDocument/2006/customXml" ds:itemID="{F30783E9-B247-4201-986C-863D9CD454A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B5ABE41-32FA-432E-81EE-E676B4DE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9</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 Decker</dc:creator>
  <cp:lastModifiedBy>Patrick Payne</cp:lastModifiedBy>
  <cp:revision>5</cp:revision>
  <cp:lastPrinted>2018-08-07T21:34:00Z</cp:lastPrinted>
  <dcterms:created xsi:type="dcterms:W3CDTF">2020-02-29T17:58:00Z</dcterms:created>
  <dcterms:modified xsi:type="dcterms:W3CDTF">2020-03-02T16:08:00Z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0x010100DC15F00EDA9A5A41A9C52D958657C982</vt:lpwstr>
  </property>
</Properties>
</file>