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48716" w14:textId="31A65054" w:rsidR="0058131F" w:rsidRDefault="0058131F" w:rsidP="0058131F">
      <w:pPr>
        <w:pStyle w:val="Title"/>
      </w:pPr>
      <w:r>
        <w:t>CoNexus Project Background</w:t>
      </w:r>
    </w:p>
    <w:p w14:paraId="4629127D" w14:textId="5DBAA35C" w:rsidR="0058131F" w:rsidRPr="0058131F" w:rsidRDefault="0058131F" w:rsidP="0058131F">
      <w:pPr>
        <w:pStyle w:val="Subtitle"/>
      </w:pPr>
      <w:r>
        <w:t xml:space="preserve">Tom McNamee – </w:t>
      </w:r>
      <w:hyperlink r:id="rId7" w:history="1">
        <w:r w:rsidRPr="000D61A7">
          <w:rPr>
            <w:rStyle w:val="Hyperlink"/>
          </w:rPr>
          <w:t>rocketman.tom@gmail.com</w:t>
        </w:r>
      </w:hyperlink>
      <w:r>
        <w:t>, DBA Rocketman Labs</w:t>
      </w:r>
    </w:p>
    <w:p w14:paraId="6ADEF940" w14:textId="35D16BEF" w:rsidR="0058131F" w:rsidRDefault="0058131F" w:rsidP="0058131F">
      <w:pPr>
        <w:pStyle w:val="Heading1"/>
      </w:pPr>
      <w:r>
        <w:t>Revision History</w:t>
      </w:r>
    </w:p>
    <w:p w14:paraId="286156A4" w14:textId="707BE6E2" w:rsidR="0087421F" w:rsidRDefault="0087421F" w:rsidP="0087421F">
      <w:r>
        <w:t xml:space="preserve">CoNexus was written by Tom McNamee, automating the Creative Strategic Thinking </w:t>
      </w:r>
      <w:r w:rsidR="007C033D">
        <w:t xml:space="preserve">(CST) </w:t>
      </w:r>
      <w:r>
        <w:t>process created by Dr. George Land.  The custom response network released in 1996 was developed by Russ Magnuson of Leadership 2000.</w:t>
      </w:r>
    </w:p>
    <w:p w14:paraId="07BBB435" w14:textId="70D029BD" w:rsidR="0087421F" w:rsidRPr="0087421F" w:rsidRDefault="0087421F" w:rsidP="0087421F">
      <w:r>
        <w:t xml:space="preserve">Ownership of all intellectual property related to CoNexus software and hardware was transferred to Tom McNamee in a letter from Dr. George Land </w:t>
      </w:r>
      <w:r w:rsidR="00904D86">
        <w:t xml:space="preserve">in 1999.  The </w:t>
      </w:r>
    </w:p>
    <w:tbl>
      <w:tblPr>
        <w:tblStyle w:val="TableGrid"/>
        <w:tblW w:w="0" w:type="auto"/>
        <w:tblLook w:val="04A0" w:firstRow="1" w:lastRow="0" w:firstColumn="1" w:lastColumn="0" w:noHBand="0" w:noVBand="1"/>
      </w:tblPr>
      <w:tblGrid>
        <w:gridCol w:w="969"/>
        <w:gridCol w:w="1345"/>
        <w:gridCol w:w="1675"/>
        <w:gridCol w:w="653"/>
        <w:gridCol w:w="4708"/>
      </w:tblGrid>
      <w:tr w:rsidR="003C0663" w:rsidRPr="003C0663" w14:paraId="08E82647" w14:textId="77777777" w:rsidTr="003C0663">
        <w:tc>
          <w:tcPr>
            <w:tcW w:w="938" w:type="dxa"/>
            <w:shd w:val="clear" w:color="auto" w:fill="7030A0"/>
          </w:tcPr>
          <w:p w14:paraId="2DC3D015" w14:textId="2FD7FE4D" w:rsidR="003C0663" w:rsidRPr="003C0663" w:rsidRDefault="003C0663" w:rsidP="0087421F">
            <w:pPr>
              <w:rPr>
                <w:b/>
                <w:bCs/>
                <w:color w:val="FFFFFF" w:themeColor="background1"/>
              </w:rPr>
            </w:pPr>
            <w:r w:rsidRPr="003C0663">
              <w:rPr>
                <w:b/>
                <w:bCs/>
                <w:color w:val="FFFFFF" w:themeColor="background1"/>
              </w:rPr>
              <w:t>Version</w:t>
            </w:r>
          </w:p>
        </w:tc>
        <w:tc>
          <w:tcPr>
            <w:tcW w:w="1060" w:type="dxa"/>
            <w:shd w:val="clear" w:color="auto" w:fill="7030A0"/>
          </w:tcPr>
          <w:p w14:paraId="4C129456" w14:textId="7F064A3A" w:rsidR="003C0663" w:rsidRPr="003C0663" w:rsidRDefault="003C0663" w:rsidP="0087421F">
            <w:pPr>
              <w:rPr>
                <w:b/>
                <w:bCs/>
                <w:color w:val="FFFFFF" w:themeColor="background1"/>
              </w:rPr>
            </w:pPr>
            <w:r w:rsidRPr="003C0663">
              <w:rPr>
                <w:b/>
                <w:bCs/>
                <w:color w:val="FFFFFF" w:themeColor="background1"/>
              </w:rPr>
              <w:t>Date</w:t>
            </w:r>
          </w:p>
        </w:tc>
        <w:tc>
          <w:tcPr>
            <w:tcW w:w="2385" w:type="dxa"/>
            <w:gridSpan w:val="2"/>
            <w:shd w:val="clear" w:color="auto" w:fill="7030A0"/>
          </w:tcPr>
          <w:p w14:paraId="7FD197DB" w14:textId="64CE4DD0" w:rsidR="003C0663" w:rsidRPr="003C0663" w:rsidRDefault="003C0663" w:rsidP="0087421F">
            <w:pPr>
              <w:rPr>
                <w:b/>
                <w:bCs/>
                <w:color w:val="FFFFFF" w:themeColor="background1"/>
              </w:rPr>
            </w:pPr>
            <w:r w:rsidRPr="003C0663">
              <w:rPr>
                <w:b/>
                <w:bCs/>
                <w:color w:val="FFFFFF" w:themeColor="background1"/>
              </w:rPr>
              <w:t>Configuration</w:t>
            </w:r>
          </w:p>
        </w:tc>
        <w:tc>
          <w:tcPr>
            <w:tcW w:w="4967" w:type="dxa"/>
            <w:shd w:val="clear" w:color="auto" w:fill="7030A0"/>
          </w:tcPr>
          <w:p w14:paraId="26BBACFD" w14:textId="6E0EE036" w:rsidR="003C0663" w:rsidRPr="003C0663" w:rsidRDefault="003C0663" w:rsidP="0087421F">
            <w:pPr>
              <w:rPr>
                <w:b/>
                <w:bCs/>
                <w:color w:val="FFFFFF" w:themeColor="background1"/>
              </w:rPr>
            </w:pPr>
            <w:r w:rsidRPr="003C0663">
              <w:rPr>
                <w:b/>
                <w:bCs/>
                <w:color w:val="FFFFFF" w:themeColor="background1"/>
              </w:rPr>
              <w:t>Notes</w:t>
            </w:r>
          </w:p>
        </w:tc>
      </w:tr>
      <w:tr w:rsidR="00904D86" w14:paraId="0C3F9880" w14:textId="77777777" w:rsidTr="00904D86">
        <w:tc>
          <w:tcPr>
            <w:tcW w:w="938" w:type="dxa"/>
          </w:tcPr>
          <w:p w14:paraId="417533F5" w14:textId="46723E1C" w:rsidR="00904D86" w:rsidRDefault="00904D86" w:rsidP="0087421F">
            <w:r>
              <w:t>1.0</w:t>
            </w:r>
          </w:p>
        </w:tc>
        <w:tc>
          <w:tcPr>
            <w:tcW w:w="1060" w:type="dxa"/>
          </w:tcPr>
          <w:p w14:paraId="7DD492D3" w14:textId="0D885017" w:rsidR="00904D86" w:rsidRDefault="00904D86" w:rsidP="0087421F">
            <w:r>
              <w:t>1986.10</w:t>
            </w:r>
          </w:p>
        </w:tc>
        <w:tc>
          <w:tcPr>
            <w:tcW w:w="2385" w:type="dxa"/>
            <w:gridSpan w:val="2"/>
          </w:tcPr>
          <w:p w14:paraId="5F119260" w14:textId="53ACBBF8" w:rsidR="00904D86" w:rsidRDefault="00904D86" w:rsidP="0087421F">
            <w:r>
              <w:t>PC DOS 3.2, Fleetwood keypads</w:t>
            </w:r>
          </w:p>
        </w:tc>
        <w:tc>
          <w:tcPr>
            <w:tcW w:w="4967" w:type="dxa"/>
          </w:tcPr>
          <w:p w14:paraId="4029521A" w14:textId="1D69B99E" w:rsidR="00904D86" w:rsidRDefault="00904D86" w:rsidP="0087421F">
            <w:r>
              <w:t>First release of CoNexus from Leadership 2000</w:t>
            </w:r>
          </w:p>
        </w:tc>
      </w:tr>
      <w:tr w:rsidR="00904D86" w14:paraId="179A8A34" w14:textId="77777777" w:rsidTr="00904D86">
        <w:tc>
          <w:tcPr>
            <w:tcW w:w="938" w:type="dxa"/>
          </w:tcPr>
          <w:p w14:paraId="51A4BAD8" w14:textId="325F10A6" w:rsidR="00904D86" w:rsidRDefault="00904D86" w:rsidP="0087421F">
            <w:r>
              <w:t>2.0</w:t>
            </w:r>
          </w:p>
        </w:tc>
        <w:tc>
          <w:tcPr>
            <w:tcW w:w="1060" w:type="dxa"/>
          </w:tcPr>
          <w:p w14:paraId="7ECA0CEF" w14:textId="48572149" w:rsidR="00904D86" w:rsidRDefault="00904D86" w:rsidP="0087421F">
            <w:r>
              <w:t>1993.01</w:t>
            </w:r>
          </w:p>
        </w:tc>
        <w:tc>
          <w:tcPr>
            <w:tcW w:w="2385" w:type="dxa"/>
            <w:gridSpan w:val="2"/>
          </w:tcPr>
          <w:p w14:paraId="285F33FF" w14:textId="15076BFD" w:rsidR="00904D86" w:rsidRDefault="00904D86" w:rsidP="0087421F">
            <w:r>
              <w:t>Win 3.1, Fleetwood keypads</w:t>
            </w:r>
          </w:p>
        </w:tc>
        <w:tc>
          <w:tcPr>
            <w:tcW w:w="4967" w:type="dxa"/>
          </w:tcPr>
          <w:p w14:paraId="675A8B2F" w14:textId="5A15210B" w:rsidR="00904D86" w:rsidRDefault="00904D86" w:rsidP="0087421F">
            <w:r>
              <w:t>First GUI release of CoNexus from Leadership 2000</w:t>
            </w:r>
          </w:p>
        </w:tc>
      </w:tr>
      <w:tr w:rsidR="00904D86" w14:paraId="279B677F" w14:textId="77777777" w:rsidTr="00904D86">
        <w:tc>
          <w:tcPr>
            <w:tcW w:w="938" w:type="dxa"/>
          </w:tcPr>
          <w:p w14:paraId="3118EC5E" w14:textId="6ED64C6E" w:rsidR="00904D86" w:rsidRDefault="00904D86" w:rsidP="0087421F">
            <w:r>
              <w:t>3.0</w:t>
            </w:r>
          </w:p>
        </w:tc>
        <w:tc>
          <w:tcPr>
            <w:tcW w:w="1060" w:type="dxa"/>
          </w:tcPr>
          <w:p w14:paraId="5513F3A2" w14:textId="37A0DBB1" w:rsidR="00904D86" w:rsidRDefault="00904D86" w:rsidP="0087421F">
            <w:r>
              <w:t>1996.02</w:t>
            </w:r>
          </w:p>
        </w:tc>
        <w:tc>
          <w:tcPr>
            <w:tcW w:w="2385" w:type="dxa"/>
            <w:gridSpan w:val="2"/>
          </w:tcPr>
          <w:p w14:paraId="7976654A" w14:textId="7023589A" w:rsidR="00904D86" w:rsidRDefault="00904D86" w:rsidP="0087421F">
            <w:r>
              <w:t>Win 95, custom keypads</w:t>
            </w:r>
          </w:p>
        </w:tc>
        <w:tc>
          <w:tcPr>
            <w:tcW w:w="4967" w:type="dxa"/>
          </w:tcPr>
          <w:p w14:paraId="4E18C71C" w14:textId="1779FCC8" w:rsidR="00904D86" w:rsidRDefault="00904D86" w:rsidP="0087421F">
            <w:r>
              <w:t>First release using Leadership 2000’s custom response network</w:t>
            </w:r>
          </w:p>
        </w:tc>
      </w:tr>
      <w:tr w:rsidR="00904D86" w14:paraId="71779C60" w14:textId="77777777" w:rsidTr="00904D86">
        <w:tc>
          <w:tcPr>
            <w:tcW w:w="938" w:type="dxa"/>
          </w:tcPr>
          <w:p w14:paraId="7AA4962F" w14:textId="74C5AF3F" w:rsidR="00904D86" w:rsidRDefault="00904D86" w:rsidP="0087421F">
            <w:r>
              <w:t>4.0</w:t>
            </w:r>
          </w:p>
        </w:tc>
        <w:tc>
          <w:tcPr>
            <w:tcW w:w="1060" w:type="dxa"/>
          </w:tcPr>
          <w:p w14:paraId="025A3B8D" w14:textId="2430AE89" w:rsidR="00904D86" w:rsidRDefault="00904D86" w:rsidP="0087421F">
            <w:r>
              <w:t>1998.01</w:t>
            </w:r>
          </w:p>
        </w:tc>
        <w:tc>
          <w:tcPr>
            <w:tcW w:w="2385" w:type="dxa"/>
            <w:gridSpan w:val="2"/>
          </w:tcPr>
          <w:p w14:paraId="5AAB2F2B" w14:textId="74B08527" w:rsidR="00904D86" w:rsidRDefault="00904D86" w:rsidP="0087421F">
            <w:r>
              <w:t>Win 95, custom keypads</w:t>
            </w:r>
          </w:p>
        </w:tc>
        <w:tc>
          <w:tcPr>
            <w:tcW w:w="4967" w:type="dxa"/>
          </w:tcPr>
          <w:p w14:paraId="743D5F22" w14:textId="353C486F" w:rsidR="00904D86" w:rsidRDefault="00904D86" w:rsidP="0087421F">
            <w:r>
              <w:t>Special edition for Arthur Andersen global license</w:t>
            </w:r>
          </w:p>
        </w:tc>
      </w:tr>
      <w:tr w:rsidR="00904D86" w14:paraId="38B6CAA4" w14:textId="77777777" w:rsidTr="00904D86">
        <w:tc>
          <w:tcPr>
            <w:tcW w:w="938" w:type="dxa"/>
          </w:tcPr>
          <w:p w14:paraId="4B8A46F0" w14:textId="77777777" w:rsidR="00904D86" w:rsidRDefault="00904D86" w:rsidP="00904D86"/>
        </w:tc>
        <w:tc>
          <w:tcPr>
            <w:tcW w:w="1060" w:type="dxa"/>
          </w:tcPr>
          <w:p w14:paraId="2DD5B0D7" w14:textId="58C2FDAA" w:rsidR="00904D86" w:rsidRDefault="00904D86" w:rsidP="00904D86">
            <w:r>
              <w:t>1999</w:t>
            </w:r>
          </w:p>
        </w:tc>
        <w:tc>
          <w:tcPr>
            <w:tcW w:w="7352" w:type="dxa"/>
            <w:gridSpan w:val="3"/>
          </w:tcPr>
          <w:p w14:paraId="79EDF401" w14:textId="474DFD7E" w:rsidR="00904D86" w:rsidRDefault="00904D86" w:rsidP="00904D86">
            <w:r>
              <w:t>Dr. Land transferred CoNexus intellectual property to Tom McNamee and Rocketman Labs.</w:t>
            </w:r>
          </w:p>
        </w:tc>
      </w:tr>
      <w:tr w:rsidR="00904D86" w14:paraId="51DC5CA7" w14:textId="77777777" w:rsidTr="00904D86">
        <w:tc>
          <w:tcPr>
            <w:tcW w:w="938" w:type="dxa"/>
          </w:tcPr>
          <w:p w14:paraId="59372AEA" w14:textId="77777777" w:rsidR="00904D86" w:rsidRDefault="00904D86" w:rsidP="00904D86"/>
        </w:tc>
        <w:tc>
          <w:tcPr>
            <w:tcW w:w="1060" w:type="dxa"/>
          </w:tcPr>
          <w:p w14:paraId="57D7F170" w14:textId="12D03969" w:rsidR="00904D86" w:rsidRDefault="00904D86" w:rsidP="00904D86">
            <w:r>
              <w:t>2000</w:t>
            </w:r>
          </w:p>
        </w:tc>
        <w:tc>
          <w:tcPr>
            <w:tcW w:w="7352" w:type="dxa"/>
            <w:gridSpan w:val="3"/>
          </w:tcPr>
          <w:p w14:paraId="0F6FDF76" w14:textId="3C59E204" w:rsidR="00904D86" w:rsidRDefault="00904D86" w:rsidP="00904D86">
            <w:r>
              <w:t xml:space="preserve">Leadership 2000 sold to </w:t>
            </w:r>
            <w:r>
              <w:t>SAIC; terms not disclosed</w:t>
            </w:r>
          </w:p>
        </w:tc>
      </w:tr>
      <w:tr w:rsidR="00904D86" w14:paraId="13257B22" w14:textId="77777777" w:rsidTr="00904D86">
        <w:tc>
          <w:tcPr>
            <w:tcW w:w="938" w:type="dxa"/>
          </w:tcPr>
          <w:p w14:paraId="34E56F88" w14:textId="1CC5F878" w:rsidR="00904D86" w:rsidRDefault="00F83D74" w:rsidP="00904D86">
            <w:r>
              <w:t>5.0</w:t>
            </w:r>
          </w:p>
        </w:tc>
        <w:tc>
          <w:tcPr>
            <w:tcW w:w="1060" w:type="dxa"/>
          </w:tcPr>
          <w:p w14:paraId="068D1057" w14:textId="34762E92" w:rsidR="00904D86" w:rsidRDefault="00904D86" w:rsidP="00904D86">
            <w:r>
              <w:t>2002.03</w:t>
            </w:r>
          </w:p>
        </w:tc>
        <w:tc>
          <w:tcPr>
            <w:tcW w:w="2385" w:type="dxa"/>
            <w:gridSpan w:val="2"/>
          </w:tcPr>
          <w:p w14:paraId="6CB87CE5" w14:textId="314A4C65" w:rsidR="00904D86" w:rsidRDefault="00904D86" w:rsidP="00904D86">
            <w:r>
              <w:t>Win XP</w:t>
            </w:r>
          </w:p>
        </w:tc>
        <w:tc>
          <w:tcPr>
            <w:tcW w:w="4967" w:type="dxa"/>
          </w:tcPr>
          <w:p w14:paraId="7C9C4C3B" w14:textId="464197BF" w:rsidR="00904D86" w:rsidRDefault="00904D86" w:rsidP="00904D86">
            <w:r>
              <w:t>Added individual 45-minute processes to help with selection (which college, which house, which car) and life strategies.  These could be conducted via a keyboard, no custom network needed.</w:t>
            </w:r>
          </w:p>
        </w:tc>
      </w:tr>
      <w:tr w:rsidR="00904D86" w14:paraId="2FDBEA40" w14:textId="77777777" w:rsidTr="00904D86">
        <w:tc>
          <w:tcPr>
            <w:tcW w:w="938" w:type="dxa"/>
          </w:tcPr>
          <w:p w14:paraId="1E3BD881" w14:textId="368DD613" w:rsidR="00904D86" w:rsidRDefault="00F83D74" w:rsidP="00904D86">
            <w:r>
              <w:t>6.0</w:t>
            </w:r>
          </w:p>
        </w:tc>
        <w:tc>
          <w:tcPr>
            <w:tcW w:w="1060" w:type="dxa"/>
          </w:tcPr>
          <w:p w14:paraId="38E61BAF" w14:textId="60F47BBC" w:rsidR="00904D86" w:rsidRDefault="00904D86" w:rsidP="00904D86">
            <w:r>
              <w:t>2007.05</w:t>
            </w:r>
          </w:p>
        </w:tc>
        <w:tc>
          <w:tcPr>
            <w:tcW w:w="2385" w:type="dxa"/>
            <w:gridSpan w:val="2"/>
          </w:tcPr>
          <w:p w14:paraId="6EC0D5F9" w14:textId="27390A8C" w:rsidR="00904D86" w:rsidRDefault="00904D86" w:rsidP="00904D86">
            <w:r>
              <w:t>Win Vista</w:t>
            </w:r>
          </w:p>
        </w:tc>
        <w:tc>
          <w:tcPr>
            <w:tcW w:w="4967" w:type="dxa"/>
          </w:tcPr>
          <w:p w14:paraId="76DDA3A5" w14:textId="7AA059AB" w:rsidR="00904D86" w:rsidRDefault="00904D86" w:rsidP="00904D86">
            <w:r>
              <w:t>Final release from Leadership 2000</w:t>
            </w:r>
          </w:p>
        </w:tc>
      </w:tr>
      <w:tr w:rsidR="00904D86" w14:paraId="63B14F33" w14:textId="77777777" w:rsidTr="00904D86">
        <w:tc>
          <w:tcPr>
            <w:tcW w:w="938" w:type="dxa"/>
          </w:tcPr>
          <w:p w14:paraId="4D60D8BF" w14:textId="3DBCB2E7" w:rsidR="00904D86" w:rsidRDefault="00F83D74" w:rsidP="00904D86">
            <w:r>
              <w:t xml:space="preserve">7.0 </w:t>
            </w:r>
            <w:r w:rsidRPr="00F83D74">
              <w:rPr>
                <w:i/>
                <w:iCs/>
                <w:sz w:val="16"/>
                <w:szCs w:val="16"/>
              </w:rPr>
              <w:t>(custom)</w:t>
            </w:r>
          </w:p>
        </w:tc>
        <w:tc>
          <w:tcPr>
            <w:tcW w:w="1060" w:type="dxa"/>
          </w:tcPr>
          <w:p w14:paraId="3AC017C3" w14:textId="78ED9457" w:rsidR="00904D86" w:rsidRDefault="00904D86" w:rsidP="00904D86">
            <w:r>
              <w:t>2010</w:t>
            </w:r>
          </w:p>
        </w:tc>
        <w:tc>
          <w:tcPr>
            <w:tcW w:w="2385" w:type="dxa"/>
            <w:gridSpan w:val="2"/>
          </w:tcPr>
          <w:p w14:paraId="765C692E" w14:textId="461940E2" w:rsidR="00904D86" w:rsidRDefault="00904D86" w:rsidP="00904D86">
            <w:r>
              <w:t>Win 7</w:t>
            </w:r>
          </w:p>
        </w:tc>
        <w:tc>
          <w:tcPr>
            <w:tcW w:w="4967" w:type="dxa"/>
          </w:tcPr>
          <w:p w14:paraId="523C05A4" w14:textId="3079063A" w:rsidR="00904D86" w:rsidRDefault="00904D86" w:rsidP="00904D86">
            <w:r>
              <w:t>First release from Rocketman Labs, customized for Leadership 2000 per Dr. Land’s requests.  This was to serve as L2000’s consulting tooling for the foreseeable future.</w:t>
            </w:r>
          </w:p>
        </w:tc>
      </w:tr>
      <w:tr w:rsidR="00F83D74" w14:paraId="01054426" w14:textId="77777777" w:rsidTr="00F83D74">
        <w:tc>
          <w:tcPr>
            <w:tcW w:w="938" w:type="dxa"/>
            <w:shd w:val="clear" w:color="auto" w:fill="C1F0C7" w:themeFill="accent3" w:themeFillTint="33"/>
          </w:tcPr>
          <w:p w14:paraId="0B643B50" w14:textId="2E2757FD" w:rsidR="00F83D74" w:rsidRDefault="00F83D74" w:rsidP="00904D86">
            <w:r>
              <w:t>8</w:t>
            </w:r>
            <w:r>
              <w:t xml:space="preserve">.0 </w:t>
            </w:r>
            <w:r w:rsidRPr="00F83D74">
              <w:rPr>
                <w:i/>
                <w:iCs/>
                <w:sz w:val="16"/>
                <w:szCs w:val="16"/>
              </w:rPr>
              <w:t>(</w:t>
            </w:r>
            <w:r>
              <w:rPr>
                <w:i/>
                <w:iCs/>
                <w:sz w:val="16"/>
                <w:szCs w:val="16"/>
              </w:rPr>
              <w:t>planned</w:t>
            </w:r>
            <w:r w:rsidRPr="00F83D74">
              <w:rPr>
                <w:i/>
                <w:iCs/>
                <w:sz w:val="16"/>
                <w:szCs w:val="16"/>
              </w:rPr>
              <w:t>)</w:t>
            </w:r>
          </w:p>
        </w:tc>
        <w:tc>
          <w:tcPr>
            <w:tcW w:w="1060" w:type="dxa"/>
            <w:shd w:val="clear" w:color="auto" w:fill="C1F0C7" w:themeFill="accent3" w:themeFillTint="33"/>
          </w:tcPr>
          <w:p w14:paraId="32430B43" w14:textId="397DEC93" w:rsidR="00F83D74" w:rsidRDefault="002D0995" w:rsidP="00904D86">
            <w:r>
              <w:t>2024.06.20, release planned for 3Q 2025</w:t>
            </w:r>
          </w:p>
        </w:tc>
        <w:tc>
          <w:tcPr>
            <w:tcW w:w="1687" w:type="dxa"/>
            <w:shd w:val="clear" w:color="auto" w:fill="C1F0C7" w:themeFill="accent3" w:themeFillTint="33"/>
          </w:tcPr>
          <w:p w14:paraId="7F695022" w14:textId="77777777" w:rsidR="00F83D74" w:rsidRDefault="00F83D74" w:rsidP="00904D86">
            <w:r>
              <w:t>Windows OS, Cloud host</w:t>
            </w:r>
          </w:p>
        </w:tc>
        <w:tc>
          <w:tcPr>
            <w:tcW w:w="5665" w:type="dxa"/>
            <w:gridSpan w:val="2"/>
            <w:shd w:val="clear" w:color="auto" w:fill="C1F0C7" w:themeFill="accent3" w:themeFillTint="33"/>
          </w:tcPr>
          <w:p w14:paraId="5113D5FE" w14:textId="4D02DA18" w:rsidR="00F83D74" w:rsidRDefault="00F83D74" w:rsidP="00904D86">
            <w:r>
              <w:t xml:space="preserve">This is a complete rewrite of CoNexus for Cloud hosting. CoNexus is gaining the ability to work with distributed groups. Participants will be able to use their mobile </w:t>
            </w:r>
            <w:r w:rsidR="005356D2">
              <w:t xml:space="preserve">devices </w:t>
            </w:r>
            <w:r>
              <w:t>to access ongoing projects and results.</w:t>
            </w:r>
          </w:p>
        </w:tc>
      </w:tr>
    </w:tbl>
    <w:p w14:paraId="112B6CFB" w14:textId="77777777" w:rsidR="0087421F" w:rsidRDefault="0087421F" w:rsidP="0087421F"/>
    <w:p w14:paraId="7E3661ED" w14:textId="4E85E105" w:rsidR="00904D86" w:rsidRPr="0087421F" w:rsidRDefault="00904D86" w:rsidP="0087421F">
      <w:r>
        <w:t xml:space="preserve">Near the end of 2000, SAIC sold the existing CoNexus 4.0 source, </w:t>
      </w:r>
      <w:r w:rsidR="00F83D74">
        <w:t>inventory and documentation related to the custom network, and training materials to Idea Sciences, Inc.  As of this writing, their website appears to have been abandoned</w:t>
      </w:r>
      <w:r w:rsidR="005356D2">
        <w:t>; there is no mention of CoNexus,</w:t>
      </w:r>
      <w:r w:rsidR="00F83D74">
        <w:t xml:space="preserve"> and </w:t>
      </w:r>
      <w:r w:rsidR="005356D2">
        <w:t>no evidence that the company pursued a decision support practice.</w:t>
      </w:r>
    </w:p>
    <w:p w14:paraId="65068CC0" w14:textId="77777777" w:rsidR="0058131F" w:rsidRPr="0058131F" w:rsidRDefault="0058131F" w:rsidP="0058131F"/>
    <w:p w14:paraId="45501F84" w14:textId="23104101" w:rsidR="0058131F" w:rsidRDefault="0058131F" w:rsidP="0058131F">
      <w:pPr>
        <w:pStyle w:val="Heading1"/>
      </w:pPr>
      <w:r>
        <w:t>Terms</w:t>
      </w:r>
    </w:p>
    <w:tbl>
      <w:tblPr>
        <w:tblStyle w:val="TableGrid"/>
        <w:tblW w:w="9355" w:type="dxa"/>
        <w:tblLook w:val="04A0" w:firstRow="1" w:lastRow="0" w:firstColumn="1" w:lastColumn="0" w:noHBand="0" w:noVBand="1"/>
      </w:tblPr>
      <w:tblGrid>
        <w:gridCol w:w="1975"/>
        <w:gridCol w:w="7380"/>
      </w:tblGrid>
      <w:tr w:rsidR="003C0663" w:rsidRPr="003C0663" w14:paraId="3DA719FF" w14:textId="77777777" w:rsidTr="003C0663">
        <w:tc>
          <w:tcPr>
            <w:tcW w:w="1975" w:type="dxa"/>
            <w:shd w:val="clear" w:color="auto" w:fill="275317" w:themeFill="accent6" w:themeFillShade="80"/>
          </w:tcPr>
          <w:p w14:paraId="20D32E85" w14:textId="3635795D" w:rsidR="003C0663" w:rsidRPr="003C0663" w:rsidRDefault="003C0663" w:rsidP="008262EF">
            <w:pPr>
              <w:rPr>
                <w:b/>
                <w:bCs/>
                <w:color w:val="FFFFFF" w:themeColor="background1"/>
              </w:rPr>
            </w:pPr>
            <w:r>
              <w:rPr>
                <w:b/>
                <w:bCs/>
                <w:color w:val="FFFFFF" w:themeColor="background1"/>
              </w:rPr>
              <w:t>Term</w:t>
            </w:r>
          </w:p>
        </w:tc>
        <w:tc>
          <w:tcPr>
            <w:tcW w:w="7380" w:type="dxa"/>
            <w:shd w:val="clear" w:color="auto" w:fill="275317" w:themeFill="accent6" w:themeFillShade="80"/>
          </w:tcPr>
          <w:p w14:paraId="360D7750" w14:textId="77777777" w:rsidR="003C0663" w:rsidRPr="003C0663" w:rsidRDefault="003C0663" w:rsidP="008262EF">
            <w:pPr>
              <w:rPr>
                <w:b/>
                <w:bCs/>
                <w:color w:val="FFFFFF" w:themeColor="background1"/>
              </w:rPr>
            </w:pPr>
            <w:r w:rsidRPr="003C0663">
              <w:rPr>
                <w:b/>
                <w:bCs/>
                <w:color w:val="FFFFFF" w:themeColor="background1"/>
              </w:rPr>
              <w:t>Notes</w:t>
            </w:r>
          </w:p>
        </w:tc>
      </w:tr>
      <w:tr w:rsidR="003C0663" w14:paraId="7F5365C1" w14:textId="77777777" w:rsidTr="003C0663">
        <w:tc>
          <w:tcPr>
            <w:tcW w:w="1975" w:type="dxa"/>
          </w:tcPr>
          <w:p w14:paraId="4E9D0E9F" w14:textId="20A39905" w:rsidR="003C0663" w:rsidRPr="00F81051" w:rsidRDefault="003C0663" w:rsidP="008262EF">
            <w:pPr>
              <w:rPr>
                <w:b/>
                <w:bCs/>
              </w:rPr>
            </w:pPr>
            <w:r w:rsidRPr="00F81051">
              <w:rPr>
                <w:b/>
                <w:bCs/>
              </w:rPr>
              <w:t>Inquiry</w:t>
            </w:r>
          </w:p>
        </w:tc>
        <w:tc>
          <w:tcPr>
            <w:tcW w:w="7380" w:type="dxa"/>
          </w:tcPr>
          <w:p w14:paraId="5228B923" w14:textId="749AB564" w:rsidR="003C0663" w:rsidRDefault="003C0663" w:rsidP="008262EF">
            <w:r>
              <w:t>Data file containing information regarding a single session.</w:t>
            </w:r>
          </w:p>
        </w:tc>
      </w:tr>
      <w:tr w:rsidR="003C0663" w14:paraId="0B45C474" w14:textId="77777777" w:rsidTr="003C0663">
        <w:tc>
          <w:tcPr>
            <w:tcW w:w="1975" w:type="dxa"/>
          </w:tcPr>
          <w:p w14:paraId="3D73887C" w14:textId="4845106A" w:rsidR="003C0663" w:rsidRPr="00F81051" w:rsidRDefault="003C0663" w:rsidP="008262EF">
            <w:pPr>
              <w:rPr>
                <w:b/>
                <w:bCs/>
              </w:rPr>
            </w:pPr>
            <w:r w:rsidRPr="00F81051">
              <w:rPr>
                <w:b/>
                <w:bCs/>
              </w:rPr>
              <w:t>Topics</w:t>
            </w:r>
          </w:p>
        </w:tc>
        <w:tc>
          <w:tcPr>
            <w:tcW w:w="7380" w:type="dxa"/>
          </w:tcPr>
          <w:p w14:paraId="2B80E7B5" w14:textId="127D1E8D" w:rsidR="003C0663" w:rsidRDefault="003C0663" w:rsidP="008262EF">
            <w:r>
              <w:t>General terms for entries used to describe various aspects of the creative process.</w:t>
            </w:r>
          </w:p>
        </w:tc>
      </w:tr>
      <w:tr w:rsidR="003C0663" w14:paraId="44E22DDD" w14:textId="77777777" w:rsidTr="003C0663">
        <w:tc>
          <w:tcPr>
            <w:tcW w:w="1975" w:type="dxa"/>
          </w:tcPr>
          <w:p w14:paraId="0E8E4460" w14:textId="7D00829C" w:rsidR="003C0663" w:rsidRDefault="003C0663" w:rsidP="00F81051">
            <w:pPr>
              <w:jc w:val="right"/>
            </w:pPr>
            <w:r>
              <w:t>Alternatives</w:t>
            </w:r>
          </w:p>
        </w:tc>
        <w:tc>
          <w:tcPr>
            <w:tcW w:w="7380" w:type="dxa"/>
          </w:tcPr>
          <w:p w14:paraId="76D42D7E" w14:textId="37B47A34" w:rsidR="003C0663" w:rsidRDefault="003C0663" w:rsidP="008262EF">
            <w:r>
              <w:t xml:space="preserve">Every Inquiry contains the “Current” Alternative, and it contains votes for the X-axis of the Profile.  Additional Alternatives may be defined to describe specific choices being evaluated.  </w:t>
            </w:r>
          </w:p>
        </w:tc>
      </w:tr>
      <w:tr w:rsidR="003C0663" w14:paraId="582349C4" w14:textId="77777777" w:rsidTr="003C0663">
        <w:tc>
          <w:tcPr>
            <w:tcW w:w="1975" w:type="dxa"/>
          </w:tcPr>
          <w:p w14:paraId="34065120" w14:textId="041D328E" w:rsidR="003C0663" w:rsidRDefault="004B202E" w:rsidP="00F81051">
            <w:pPr>
              <w:jc w:val="right"/>
            </w:pPr>
            <w:r>
              <w:t>Criteria</w:t>
            </w:r>
          </w:p>
        </w:tc>
        <w:tc>
          <w:tcPr>
            <w:tcW w:w="7380" w:type="dxa"/>
          </w:tcPr>
          <w:p w14:paraId="270DD14D" w14:textId="1BCC2904" w:rsidR="003C0663" w:rsidRDefault="004B202E" w:rsidP="008262EF">
            <w:r>
              <w:t>The Criteria list (often called strategies, wants, needs, etc.) can be prioritized, forming the basis for the Profile’s Y-Axis and serving as WEIGHTS in the larger processes.</w:t>
            </w:r>
          </w:p>
        </w:tc>
      </w:tr>
      <w:tr w:rsidR="003C0663" w14:paraId="0BEF0E5F" w14:textId="77777777" w:rsidTr="003C0663">
        <w:tc>
          <w:tcPr>
            <w:tcW w:w="1975" w:type="dxa"/>
          </w:tcPr>
          <w:p w14:paraId="7A5FBB5C" w14:textId="28687D81" w:rsidR="003C0663" w:rsidRDefault="004B202E" w:rsidP="00F81051">
            <w:pPr>
              <w:jc w:val="right"/>
            </w:pPr>
            <w:r>
              <w:t>Costs</w:t>
            </w:r>
          </w:p>
        </w:tc>
        <w:tc>
          <w:tcPr>
            <w:tcW w:w="7380" w:type="dxa"/>
          </w:tcPr>
          <w:p w14:paraId="7D504835" w14:textId="761D483C" w:rsidR="003C0663" w:rsidRDefault="004B202E" w:rsidP="008262EF">
            <w:r>
              <w:t xml:space="preserve">Optional Cost elements can be assigned to </w:t>
            </w:r>
            <w:r w:rsidR="007D7606">
              <w:t>each</w:t>
            </w:r>
            <w:r>
              <w:t xml:space="preserve"> Alternative. CoNexus supports multiple Costs</w:t>
            </w:r>
            <w:r w:rsidR="007D7606">
              <w:t xml:space="preserve"> (currency, time, etc.).  In the Matrix, Costs are subtracted from WORTH (sum of weighted values for Alternative) to yield VALUE.</w:t>
            </w:r>
          </w:p>
        </w:tc>
      </w:tr>
      <w:tr w:rsidR="003C0663" w14:paraId="0AFD6F52" w14:textId="77777777" w:rsidTr="003C0663">
        <w:tc>
          <w:tcPr>
            <w:tcW w:w="1975" w:type="dxa"/>
          </w:tcPr>
          <w:p w14:paraId="6D070263" w14:textId="44EB4C1F" w:rsidR="003C0663" w:rsidRPr="00F81051" w:rsidRDefault="00F81051" w:rsidP="008262EF">
            <w:pPr>
              <w:rPr>
                <w:b/>
                <w:bCs/>
              </w:rPr>
            </w:pPr>
            <w:r w:rsidRPr="00F81051">
              <w:rPr>
                <w:b/>
                <w:bCs/>
              </w:rPr>
              <w:t>Axes</w:t>
            </w:r>
          </w:p>
        </w:tc>
        <w:tc>
          <w:tcPr>
            <w:tcW w:w="7380" w:type="dxa"/>
          </w:tcPr>
          <w:p w14:paraId="213BB78D" w14:textId="6C6C90A3" w:rsidR="003C0663" w:rsidRDefault="00F81051" w:rsidP="008262EF">
            <w:r>
              <w:t>Axes contain participant evaluations of the existing Topics. WEIGHTS (Y-axis) is used for all Alternatives, while CONTRIBUTION is specific to each Alternative. The facilitator selects which X-Axis to display on the Profile.</w:t>
            </w:r>
          </w:p>
        </w:tc>
      </w:tr>
      <w:tr w:rsidR="003C0663" w14:paraId="07A27C51" w14:textId="77777777" w:rsidTr="003C0663">
        <w:tc>
          <w:tcPr>
            <w:tcW w:w="1975" w:type="dxa"/>
          </w:tcPr>
          <w:p w14:paraId="37A46120" w14:textId="1EDAD2FD" w:rsidR="003C0663" w:rsidRDefault="00F81051" w:rsidP="00F81051">
            <w:pPr>
              <w:jc w:val="right"/>
            </w:pPr>
            <w:r>
              <w:t>X-Axis</w:t>
            </w:r>
          </w:p>
        </w:tc>
        <w:tc>
          <w:tcPr>
            <w:tcW w:w="7380" w:type="dxa"/>
          </w:tcPr>
          <w:p w14:paraId="09366A8E" w14:textId="39AB44E8" w:rsidR="003C0663" w:rsidRDefault="00F81051" w:rsidP="008262EF">
            <w:r>
              <w:t>Votes related to the CONTRIBUTION of the Alternative to each Criteria.</w:t>
            </w:r>
          </w:p>
        </w:tc>
      </w:tr>
      <w:tr w:rsidR="00F81051" w14:paraId="4A4E2746" w14:textId="77777777" w:rsidTr="003C0663">
        <w:tc>
          <w:tcPr>
            <w:tcW w:w="1975" w:type="dxa"/>
          </w:tcPr>
          <w:p w14:paraId="0BCF334B" w14:textId="42A0E7DA" w:rsidR="00F81051" w:rsidRDefault="00F81051" w:rsidP="00F81051">
            <w:pPr>
              <w:jc w:val="right"/>
            </w:pPr>
            <w:r>
              <w:t>Y-Axis</w:t>
            </w:r>
          </w:p>
        </w:tc>
        <w:tc>
          <w:tcPr>
            <w:tcW w:w="7380" w:type="dxa"/>
          </w:tcPr>
          <w:p w14:paraId="26EF6DA5" w14:textId="4704ACFD" w:rsidR="00F81051" w:rsidRDefault="00F81051" w:rsidP="008262EF">
            <w:r>
              <w:t>Votes related to the WEIGHT that each Criteria should carry.</w:t>
            </w:r>
          </w:p>
        </w:tc>
      </w:tr>
      <w:tr w:rsidR="00F81051" w14:paraId="79574EEA" w14:textId="77777777" w:rsidTr="003C0663">
        <w:tc>
          <w:tcPr>
            <w:tcW w:w="1975" w:type="dxa"/>
          </w:tcPr>
          <w:p w14:paraId="7B5D1274" w14:textId="10EE9D5F" w:rsidR="00F81051" w:rsidRDefault="00F81051" w:rsidP="00F81051">
            <w:pPr>
              <w:jc w:val="right"/>
            </w:pPr>
            <w:r>
              <w:t>Additional X-axes</w:t>
            </w:r>
          </w:p>
        </w:tc>
        <w:tc>
          <w:tcPr>
            <w:tcW w:w="7380" w:type="dxa"/>
          </w:tcPr>
          <w:p w14:paraId="3C99F4F6" w14:textId="3E646F05" w:rsidR="007D7606" w:rsidRDefault="00F81051" w:rsidP="008262EF">
            <w:r>
              <w:t>Any type of data collection using continuous or discrete element Voting Scales.  This information can serve as a replacement X-axis on the Profile.</w:t>
            </w:r>
          </w:p>
        </w:tc>
      </w:tr>
      <w:tr w:rsidR="007D7606" w14:paraId="44C716A2" w14:textId="77777777" w:rsidTr="003C0663">
        <w:tc>
          <w:tcPr>
            <w:tcW w:w="1975" w:type="dxa"/>
          </w:tcPr>
          <w:p w14:paraId="348EF525" w14:textId="4986B9E0" w:rsidR="007D7606" w:rsidRPr="00BC3C07" w:rsidRDefault="007D7606" w:rsidP="00BC3C07">
            <w:pPr>
              <w:rPr>
                <w:b/>
                <w:bCs/>
              </w:rPr>
            </w:pPr>
            <w:r w:rsidRPr="00BC3C07">
              <w:rPr>
                <w:b/>
                <w:bCs/>
              </w:rPr>
              <w:t>Profile</w:t>
            </w:r>
          </w:p>
        </w:tc>
        <w:tc>
          <w:tcPr>
            <w:tcW w:w="7380" w:type="dxa"/>
          </w:tcPr>
          <w:p w14:paraId="6B5F5EDC" w14:textId="77777777" w:rsidR="007D7606" w:rsidRDefault="007D7606" w:rsidP="008262EF"/>
        </w:tc>
      </w:tr>
      <w:tr w:rsidR="007D7606" w14:paraId="39EC5905" w14:textId="77777777" w:rsidTr="003C0663">
        <w:tc>
          <w:tcPr>
            <w:tcW w:w="1975" w:type="dxa"/>
          </w:tcPr>
          <w:p w14:paraId="2AB40DD3" w14:textId="5056C75A" w:rsidR="007D7606" w:rsidRPr="00BC3C07" w:rsidRDefault="007D7606" w:rsidP="00BC3C07">
            <w:pPr>
              <w:rPr>
                <w:b/>
                <w:bCs/>
              </w:rPr>
            </w:pPr>
            <w:r w:rsidRPr="00BC3C07">
              <w:rPr>
                <w:b/>
                <w:bCs/>
              </w:rPr>
              <w:t>Matrix</w:t>
            </w:r>
          </w:p>
        </w:tc>
        <w:tc>
          <w:tcPr>
            <w:tcW w:w="7380" w:type="dxa"/>
          </w:tcPr>
          <w:p w14:paraId="58832341" w14:textId="77777777" w:rsidR="007D7606" w:rsidRDefault="007D7606" w:rsidP="008262EF"/>
        </w:tc>
      </w:tr>
      <w:tr w:rsidR="007D7606" w14:paraId="1E2A185E" w14:textId="77777777" w:rsidTr="003C0663">
        <w:tc>
          <w:tcPr>
            <w:tcW w:w="1975" w:type="dxa"/>
          </w:tcPr>
          <w:p w14:paraId="60D308DE" w14:textId="584E2D65" w:rsidR="007D7606" w:rsidRDefault="007D7606" w:rsidP="00F81051">
            <w:pPr>
              <w:jc w:val="right"/>
            </w:pPr>
            <w:r>
              <w:t>CONTRIBUTION</w:t>
            </w:r>
          </w:p>
        </w:tc>
        <w:tc>
          <w:tcPr>
            <w:tcW w:w="7380" w:type="dxa"/>
          </w:tcPr>
          <w:p w14:paraId="1B080810" w14:textId="757870FC" w:rsidR="007D7606" w:rsidRDefault="007D7606" w:rsidP="008262EF">
            <w:r>
              <w:t>These are values that occupy Matrix cells and represent users’ rating of the CONTRIBUTION of each Alternative to each Criteria.</w:t>
            </w:r>
            <w:r w:rsidR="00BC3C07">
              <w:t xml:space="preserve"> CONTRIBUTION represents the impact of the work proposed for each Criterion.</w:t>
            </w:r>
          </w:p>
        </w:tc>
      </w:tr>
      <w:tr w:rsidR="007D7606" w14:paraId="0E416FBA" w14:textId="77777777" w:rsidTr="003C0663">
        <w:tc>
          <w:tcPr>
            <w:tcW w:w="1975" w:type="dxa"/>
          </w:tcPr>
          <w:p w14:paraId="0F21225A" w14:textId="001967E9" w:rsidR="007D7606" w:rsidRDefault="007D7606" w:rsidP="00F81051">
            <w:pPr>
              <w:jc w:val="right"/>
            </w:pPr>
            <w:r>
              <w:t>WORTH</w:t>
            </w:r>
          </w:p>
        </w:tc>
        <w:tc>
          <w:tcPr>
            <w:tcW w:w="7380" w:type="dxa"/>
          </w:tcPr>
          <w:p w14:paraId="052F9A5C" w14:textId="56105259" w:rsidR="007D7606" w:rsidRDefault="00BC3C07" w:rsidP="008262EF">
            <w:r>
              <w:t>The sum of the weighted values for each Alternative.</w:t>
            </w:r>
          </w:p>
        </w:tc>
      </w:tr>
      <w:tr w:rsidR="007D7606" w14:paraId="29923458" w14:textId="77777777" w:rsidTr="003C0663">
        <w:tc>
          <w:tcPr>
            <w:tcW w:w="1975" w:type="dxa"/>
          </w:tcPr>
          <w:p w14:paraId="0EB7807D" w14:textId="2863E8D6" w:rsidR="007D7606" w:rsidRDefault="007D7606" w:rsidP="00F81051">
            <w:pPr>
              <w:jc w:val="right"/>
            </w:pPr>
            <w:r>
              <w:t>VALUE</w:t>
            </w:r>
          </w:p>
        </w:tc>
        <w:tc>
          <w:tcPr>
            <w:tcW w:w="7380" w:type="dxa"/>
          </w:tcPr>
          <w:p w14:paraId="30C8FCAD" w14:textId="386508E6" w:rsidR="007D7606" w:rsidRDefault="00BC3C07" w:rsidP="008262EF">
            <w:r>
              <w:t>The difference between the WORTH of an Alternative and its COSTS.</w:t>
            </w:r>
          </w:p>
        </w:tc>
      </w:tr>
      <w:tr w:rsidR="007D7606" w14:paraId="3268758A" w14:textId="77777777" w:rsidTr="003C0663">
        <w:tc>
          <w:tcPr>
            <w:tcW w:w="1975" w:type="dxa"/>
          </w:tcPr>
          <w:p w14:paraId="0D0DB8FF" w14:textId="02663917" w:rsidR="007D7606" w:rsidRDefault="007D7606" w:rsidP="00F81051">
            <w:pPr>
              <w:jc w:val="right"/>
            </w:pPr>
            <w:r>
              <w:t>REFERENCE</w:t>
            </w:r>
          </w:p>
        </w:tc>
        <w:tc>
          <w:tcPr>
            <w:tcW w:w="7380" w:type="dxa"/>
          </w:tcPr>
          <w:p w14:paraId="627EB812" w14:textId="72EB9049" w:rsidR="007D7606" w:rsidRDefault="00BC3C07" w:rsidP="008262EF">
            <w:r>
              <w:t>This value represents a fictitious Alternative that received the same CONTRIBUTION vote in all cells.  By comparing this “nominal WORTH” value to the real Alternatives’ WORTH, CoNexus can suggest one of several broad categories of action.</w:t>
            </w:r>
          </w:p>
        </w:tc>
      </w:tr>
      <w:tr w:rsidR="007D7606" w14:paraId="75C9C76A" w14:textId="77777777" w:rsidTr="003C0663">
        <w:tc>
          <w:tcPr>
            <w:tcW w:w="1975" w:type="dxa"/>
          </w:tcPr>
          <w:p w14:paraId="220C3168" w14:textId="2BA1AEA8" w:rsidR="007D7606" w:rsidRDefault="007D7606" w:rsidP="007D7606">
            <w:pPr>
              <w:jc w:val="right"/>
            </w:pPr>
            <w:r>
              <w:t>INTERPRETATION</w:t>
            </w:r>
          </w:p>
        </w:tc>
        <w:tc>
          <w:tcPr>
            <w:tcW w:w="7380" w:type="dxa"/>
          </w:tcPr>
          <w:p w14:paraId="48D02FE2" w14:textId="03581608" w:rsidR="007D7606" w:rsidRDefault="00BC3C07" w:rsidP="008262EF">
            <w:r>
              <w:t>Actions suggested by CoNexus by evaluating REFERENCE against WORTH.</w:t>
            </w:r>
          </w:p>
        </w:tc>
      </w:tr>
      <w:tr w:rsidR="007D7606" w14:paraId="472DA7A5" w14:textId="77777777" w:rsidTr="003C0663">
        <w:tc>
          <w:tcPr>
            <w:tcW w:w="1975" w:type="dxa"/>
          </w:tcPr>
          <w:p w14:paraId="7D69D68C" w14:textId="59BBB6F3" w:rsidR="007D7606" w:rsidRDefault="007D7606" w:rsidP="007D7606">
            <w:pPr>
              <w:jc w:val="right"/>
            </w:pPr>
            <w:r>
              <w:t>WEIGHT</w:t>
            </w:r>
          </w:p>
        </w:tc>
        <w:tc>
          <w:tcPr>
            <w:tcW w:w="7380" w:type="dxa"/>
          </w:tcPr>
          <w:p w14:paraId="6058BBE8" w14:textId="3014EA0E" w:rsidR="007D7606" w:rsidRDefault="007D7606" w:rsidP="008262EF">
            <w:r>
              <w:t>The importance score for each Criterion.</w:t>
            </w:r>
          </w:p>
        </w:tc>
      </w:tr>
      <w:tr w:rsidR="007D7606" w14:paraId="0FDA7FE5" w14:textId="77777777" w:rsidTr="003C0663">
        <w:tc>
          <w:tcPr>
            <w:tcW w:w="1975" w:type="dxa"/>
          </w:tcPr>
          <w:p w14:paraId="51B1570B" w14:textId="1A1A87F9" w:rsidR="007D7606" w:rsidRDefault="007D7606" w:rsidP="007D7606">
            <w:pPr>
              <w:jc w:val="right"/>
            </w:pPr>
            <w:r>
              <w:t>EFFORT</w:t>
            </w:r>
          </w:p>
        </w:tc>
        <w:tc>
          <w:tcPr>
            <w:tcW w:w="7380" w:type="dxa"/>
          </w:tcPr>
          <w:p w14:paraId="1B6514C5" w14:textId="2A162876" w:rsidR="007D7606" w:rsidRDefault="007D7606" w:rsidP="008262EF">
            <w:r>
              <w:t>The sum of the raw CONTRIBUTION votes, representing how much is being done to meet each Criterion.</w:t>
            </w:r>
          </w:p>
        </w:tc>
      </w:tr>
      <w:tr w:rsidR="007D7606" w14:paraId="0C2EF2D9" w14:textId="77777777" w:rsidTr="003C0663">
        <w:tc>
          <w:tcPr>
            <w:tcW w:w="1975" w:type="dxa"/>
          </w:tcPr>
          <w:p w14:paraId="2431CAED" w14:textId="3A1A5B87" w:rsidR="007D7606" w:rsidRDefault="007D7606" w:rsidP="007D7606">
            <w:pPr>
              <w:jc w:val="right"/>
            </w:pPr>
            <w:r>
              <w:t>BALANCE</w:t>
            </w:r>
          </w:p>
        </w:tc>
        <w:tc>
          <w:tcPr>
            <w:tcW w:w="7380" w:type="dxa"/>
          </w:tcPr>
          <w:p w14:paraId="2542BBE4" w14:textId="761B2D50" w:rsidR="007D7606" w:rsidRDefault="007D7606" w:rsidP="008262EF">
            <w:r>
              <w:t>The difference between EFFORT and WEIGHT for each Criterion.  Some processes use this feature of the Matrix to ensure resources are applied appropriately across the board.</w:t>
            </w:r>
          </w:p>
        </w:tc>
      </w:tr>
    </w:tbl>
    <w:p w14:paraId="35070D5F" w14:textId="77777777" w:rsidR="003C0663" w:rsidRPr="003C0663" w:rsidRDefault="003C0663" w:rsidP="003C0663"/>
    <w:p w14:paraId="7C291625" w14:textId="6A7BE25B" w:rsidR="0058131F" w:rsidRDefault="0068235E" w:rsidP="0058131F">
      <w:pPr>
        <w:pStyle w:val="Heading1"/>
      </w:pPr>
      <w:r>
        <w:lastRenderedPageBreak/>
        <w:t>Background</w:t>
      </w:r>
    </w:p>
    <w:p w14:paraId="35FB3C19" w14:textId="217CDD21" w:rsidR="0068235E" w:rsidRDefault="0068235E" w:rsidP="0068235E">
      <w:r>
        <w:t>Transformation Theory was discovered by Dr. Land as he noticed similarities between various scientific disciplines.  In cell biology he found that single-celled organisms feed themselves using steps analogous to a creative process he had created called PASEAR (Appendix F).  In astronomy, chemistry, geology, and psychology, he continued to see a common pattern to the way systems dealt with change.</w:t>
      </w:r>
    </w:p>
    <w:p w14:paraId="6CF2F47E" w14:textId="25DD7FE7" w:rsidR="0068235E" w:rsidRDefault="0068235E" w:rsidP="0068235E">
      <w:r>
        <w:t>Transformation Theory is explained in Appendix D.</w:t>
      </w:r>
    </w:p>
    <w:p w14:paraId="1E86F199" w14:textId="2E149E03" w:rsidR="002D0995" w:rsidRDefault="002D0995" w:rsidP="0068235E">
      <w:r>
        <w:t xml:space="preserve">Creative production is the name for the process that underlies much of CoNexus’ process design and it arises from a simple principle: </w:t>
      </w:r>
      <w:r w:rsidRPr="002D0995">
        <w:rPr>
          <w:b/>
          <w:bCs/>
        </w:rPr>
        <w:t>creativity is the generation of novelty</w:t>
      </w:r>
      <w:r>
        <w:t xml:space="preserve">.  To be novel, an idea only must be new </w:t>
      </w:r>
      <w:r w:rsidRPr="002D0995">
        <w:rPr>
          <w:i/>
          <w:iCs/>
        </w:rPr>
        <w:t>for the creator</w:t>
      </w:r>
      <w:r>
        <w:t>.  Novelty can be the idea itself, or a new way to use it and it only must be novel to the creator.  Dr. Land began his explorations into Transformation Theory because of his earlier work in creativity and imagination, conducted with the Creative Education Foundation out of SUNY Buffalo.</w:t>
      </w:r>
    </w:p>
    <w:p w14:paraId="2C353EE9" w14:textId="69ECBC1F" w:rsidR="002D0995" w:rsidRDefault="002D0995" w:rsidP="0068235E">
      <w:r>
        <w:t>Creative production is covered more fully in Appendix E.</w:t>
      </w:r>
    </w:p>
    <w:p w14:paraId="072E73A3" w14:textId="7FF5FE61" w:rsidR="0068235E" w:rsidRPr="0068235E" w:rsidRDefault="0068235E" w:rsidP="0068235E">
      <w:r>
        <w:t xml:space="preserve">From this, Dr. Land developed Creative Strategic Thinking, a problem-solving process specifically designed to </w:t>
      </w:r>
      <w:r w:rsidR="002D0995">
        <w:t xml:space="preserve">yield novel results.  </w:t>
      </w:r>
    </w:p>
    <w:p w14:paraId="0A6598F5" w14:textId="16184FEB" w:rsidR="0058131F" w:rsidRDefault="0058131F" w:rsidP="0058131F">
      <w:pPr>
        <w:pStyle w:val="Heading1"/>
      </w:pPr>
      <w:r>
        <w:t>Next Release</w:t>
      </w:r>
    </w:p>
    <w:p w14:paraId="4262A076" w14:textId="33B96AFF" w:rsidR="0058131F" w:rsidRDefault="004B202E" w:rsidP="0058131F">
      <w:pPr>
        <w:pStyle w:val="ListParagraph"/>
        <w:numPr>
          <w:ilvl w:val="0"/>
          <w:numId w:val="1"/>
        </w:numPr>
      </w:pPr>
      <w:r>
        <w:rPr>
          <w:noProof/>
        </w:rPr>
        <w:object w:dxaOrig="225" w:dyaOrig="225" w14:anchorId="4C827C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1pt;margin-top:0;width:112.2pt;height:176.4pt;z-index:251659264;mso-position-horizontal:right;mso-position-horizontal-relative:text;mso-position-vertical:absolute;mso-position-vertical-relative:text">
            <v:imagedata r:id="rId8" o:title=""/>
            <w10:wrap type="square"/>
          </v:shape>
          <o:OLEObject Type="Embed" ProgID="Visio.Drawing.15" ShapeID="_x0000_s1026" DrawAspect="Content" ObjectID="_1780315531" r:id="rId9"/>
        </w:object>
      </w:r>
      <w:r w:rsidR="0058131F">
        <w:t>Expansion into the other three Delivery Modes.</w:t>
      </w:r>
      <w:r w:rsidRPr="004B202E">
        <w:t xml:space="preserve"> </w:t>
      </w:r>
    </w:p>
    <w:p w14:paraId="21672775" w14:textId="7D155840" w:rsidR="0058131F" w:rsidRDefault="0058131F" w:rsidP="0058131F">
      <w:pPr>
        <w:pStyle w:val="ListParagraph"/>
        <w:numPr>
          <w:ilvl w:val="0"/>
          <w:numId w:val="1"/>
        </w:numPr>
      </w:pPr>
      <w:r>
        <w:t>Uses mobile devices instead of custom keypads for Participant interactions.</w:t>
      </w:r>
    </w:p>
    <w:p w14:paraId="77790426" w14:textId="3D077624" w:rsidR="0058131F" w:rsidRDefault="004B202E" w:rsidP="0058131F">
      <w:pPr>
        <w:pStyle w:val="ListParagraph"/>
        <w:numPr>
          <w:ilvl w:val="0"/>
          <w:numId w:val="1"/>
        </w:numPr>
      </w:pPr>
      <w:r>
        <w:t>Custom Processes can be designed by authorized users.</w:t>
      </w:r>
    </w:p>
    <w:p w14:paraId="6247A17E" w14:textId="5F0B09BD" w:rsidR="004B202E" w:rsidRDefault="004B202E" w:rsidP="0058131F">
      <w:pPr>
        <w:pStyle w:val="ListParagraph"/>
        <w:numPr>
          <w:ilvl w:val="0"/>
          <w:numId w:val="1"/>
        </w:numPr>
      </w:pPr>
      <w:r>
        <w:t>Journaling service documents Inquiries as printable reports with data, Profiles, and other results.</w:t>
      </w:r>
    </w:p>
    <w:p w14:paraId="56C0E25C" w14:textId="2370342B" w:rsidR="004B202E" w:rsidRDefault="004B202E" w:rsidP="0058131F">
      <w:pPr>
        <w:pStyle w:val="ListParagraph"/>
        <w:numPr>
          <w:ilvl w:val="0"/>
          <w:numId w:val="1"/>
        </w:numPr>
      </w:pPr>
      <w:r>
        <w:t>“What If?” feature allows any authorized user to alter costs, weights, or individual contribution scores to see their results in the Profile or Matrix.</w:t>
      </w:r>
    </w:p>
    <w:p w14:paraId="307F7B5F" w14:textId="7FAC5ADA" w:rsidR="0058131F" w:rsidRPr="0058131F" w:rsidRDefault="004B202E" w:rsidP="0058131F">
      <w:pPr>
        <w:pStyle w:val="ListParagraph"/>
        <w:numPr>
          <w:ilvl w:val="0"/>
          <w:numId w:val="1"/>
        </w:numPr>
      </w:pPr>
      <w:r>
        <w:t>The Long-term Acquisition of CoNexus Inquiries (LACI) service allows Inquiries to be linked in a chain or hierarchy.</w:t>
      </w:r>
    </w:p>
    <w:p w14:paraId="56DC86EE" w14:textId="43220F5C" w:rsidR="0058131F" w:rsidRDefault="0058131F" w:rsidP="0058131F">
      <w:pPr>
        <w:pStyle w:val="Heading1"/>
      </w:pPr>
      <w:r>
        <w:t>Selling CoNexus</w:t>
      </w:r>
    </w:p>
    <w:p w14:paraId="72C9E564" w14:textId="21EAD544" w:rsidR="0058131F" w:rsidRPr="0087421F" w:rsidRDefault="0058131F" w:rsidP="00BC3C07">
      <w:pPr>
        <w:pStyle w:val="Heading1"/>
        <w:pageBreakBefore/>
        <w:rPr>
          <w:color w:val="124F1A" w:themeColor="accent3" w:themeShade="BF"/>
        </w:rPr>
      </w:pPr>
      <w:r w:rsidRPr="0087421F">
        <w:rPr>
          <w:color w:val="124F1A" w:themeColor="accent3" w:themeShade="BF"/>
        </w:rPr>
        <w:lastRenderedPageBreak/>
        <w:t>Appendix A – Typical Group Process</w:t>
      </w:r>
    </w:p>
    <w:p w14:paraId="470C42C9" w14:textId="59FD70DF" w:rsidR="0058131F" w:rsidRPr="0087421F" w:rsidRDefault="0058131F" w:rsidP="00BC3C07">
      <w:pPr>
        <w:pStyle w:val="Heading1"/>
        <w:pageBreakBefore/>
        <w:rPr>
          <w:color w:val="124F1A" w:themeColor="accent3" w:themeShade="BF"/>
        </w:rPr>
      </w:pPr>
      <w:r w:rsidRPr="0087421F">
        <w:rPr>
          <w:color w:val="124F1A" w:themeColor="accent3" w:themeShade="BF"/>
        </w:rPr>
        <w:lastRenderedPageBreak/>
        <w:t>Appendix B – Typical Individual Processes</w:t>
      </w:r>
    </w:p>
    <w:p w14:paraId="2FB23EFC" w14:textId="0F05729F" w:rsidR="0058131F" w:rsidRDefault="0058131F" w:rsidP="00BC3C07">
      <w:pPr>
        <w:pStyle w:val="Heading1"/>
        <w:pageBreakBefore/>
        <w:rPr>
          <w:color w:val="124F1A" w:themeColor="accent3" w:themeShade="BF"/>
        </w:rPr>
      </w:pPr>
      <w:r w:rsidRPr="0087421F">
        <w:rPr>
          <w:color w:val="124F1A" w:themeColor="accent3" w:themeShade="BF"/>
        </w:rPr>
        <w:lastRenderedPageBreak/>
        <w:t xml:space="preserve">Appendix C – </w:t>
      </w:r>
      <w:r w:rsidR="00BC3C07">
        <w:rPr>
          <w:color w:val="124F1A" w:themeColor="accent3" w:themeShade="BF"/>
        </w:rPr>
        <w:t>Sales Experience &amp; Pricing History</w:t>
      </w:r>
    </w:p>
    <w:p w14:paraId="55B9CA60" w14:textId="7C7E4AD0" w:rsidR="0068235E" w:rsidRDefault="0068235E" w:rsidP="0068235E">
      <w:pPr>
        <w:pStyle w:val="Heading1"/>
        <w:pageBreakBefore/>
        <w:rPr>
          <w:color w:val="124F1A" w:themeColor="accent3" w:themeShade="BF"/>
        </w:rPr>
      </w:pPr>
      <w:r w:rsidRPr="0087421F">
        <w:rPr>
          <w:color w:val="124F1A" w:themeColor="accent3" w:themeShade="BF"/>
        </w:rPr>
        <w:lastRenderedPageBreak/>
        <w:t xml:space="preserve">Appendix </w:t>
      </w:r>
      <w:r>
        <w:rPr>
          <w:color w:val="124F1A" w:themeColor="accent3" w:themeShade="BF"/>
        </w:rPr>
        <w:t>D</w:t>
      </w:r>
      <w:r w:rsidRPr="0087421F">
        <w:rPr>
          <w:color w:val="124F1A" w:themeColor="accent3" w:themeShade="BF"/>
        </w:rPr>
        <w:t xml:space="preserve"> – </w:t>
      </w:r>
      <w:r>
        <w:rPr>
          <w:color w:val="124F1A" w:themeColor="accent3" w:themeShade="BF"/>
        </w:rPr>
        <w:t>Transformation Theory</w:t>
      </w:r>
    </w:p>
    <w:p w14:paraId="4E9A00C7" w14:textId="65E30892" w:rsidR="0068235E" w:rsidRDefault="0068235E" w:rsidP="0068235E">
      <w:pPr>
        <w:pStyle w:val="Heading1"/>
        <w:pageBreakBefore/>
        <w:rPr>
          <w:color w:val="124F1A" w:themeColor="accent3" w:themeShade="BF"/>
        </w:rPr>
      </w:pPr>
      <w:r w:rsidRPr="0087421F">
        <w:rPr>
          <w:color w:val="124F1A" w:themeColor="accent3" w:themeShade="BF"/>
        </w:rPr>
        <w:lastRenderedPageBreak/>
        <w:t xml:space="preserve">Appendix </w:t>
      </w:r>
      <w:r>
        <w:rPr>
          <w:color w:val="124F1A" w:themeColor="accent3" w:themeShade="BF"/>
        </w:rPr>
        <w:t>E</w:t>
      </w:r>
      <w:r w:rsidRPr="0087421F">
        <w:rPr>
          <w:color w:val="124F1A" w:themeColor="accent3" w:themeShade="BF"/>
        </w:rPr>
        <w:t xml:space="preserve"> – </w:t>
      </w:r>
      <w:r>
        <w:rPr>
          <w:color w:val="124F1A" w:themeColor="accent3" w:themeShade="BF"/>
        </w:rPr>
        <w:t>Creative Production</w:t>
      </w:r>
    </w:p>
    <w:p w14:paraId="72C6E97F" w14:textId="6BFBBD86" w:rsidR="002D0995" w:rsidRDefault="002D0995" w:rsidP="002D0995">
      <w:pPr>
        <w:pStyle w:val="Heading1"/>
        <w:pageBreakBefore/>
        <w:rPr>
          <w:color w:val="124F1A" w:themeColor="accent3" w:themeShade="BF"/>
        </w:rPr>
      </w:pPr>
      <w:r w:rsidRPr="0087421F">
        <w:rPr>
          <w:color w:val="124F1A" w:themeColor="accent3" w:themeShade="BF"/>
        </w:rPr>
        <w:lastRenderedPageBreak/>
        <w:t xml:space="preserve">Appendix </w:t>
      </w:r>
      <w:r>
        <w:rPr>
          <w:color w:val="124F1A" w:themeColor="accent3" w:themeShade="BF"/>
        </w:rPr>
        <w:t>F</w:t>
      </w:r>
      <w:r w:rsidRPr="0087421F">
        <w:rPr>
          <w:color w:val="124F1A" w:themeColor="accent3" w:themeShade="BF"/>
        </w:rPr>
        <w:t xml:space="preserve"> – </w:t>
      </w:r>
      <w:r>
        <w:rPr>
          <w:color w:val="124F1A" w:themeColor="accent3" w:themeShade="BF"/>
        </w:rPr>
        <w:t>PASEAR</w:t>
      </w:r>
    </w:p>
    <w:p w14:paraId="45014B66" w14:textId="16572BD1" w:rsidR="00DE784F" w:rsidRDefault="002D0995" w:rsidP="002D0995">
      <w:r>
        <w:t xml:space="preserve">Personal note: I began </w:t>
      </w:r>
      <w:r w:rsidR="00E620F5">
        <w:t xml:space="preserve">my interest in Land’s work after </w:t>
      </w:r>
      <w:r w:rsidR="00DE784F">
        <w:t>hearing about his work in creative problem-solving.  I had been exposed to some of the “institutional” processes adopted by corporations such as Xerox and IBM, and my quest began with this:</w:t>
      </w:r>
    </w:p>
    <w:p w14:paraId="212DF736" w14:textId="1D45EEF4" w:rsidR="00DE784F" w:rsidRDefault="00DE784F" w:rsidP="002D0995">
      <w:r>
        <w:t xml:space="preserve">“Which is best?”  </w:t>
      </w:r>
    </w:p>
    <w:p w14:paraId="2A9F1B95" w14:textId="6A0C8663" w:rsidR="00DE784F" w:rsidRDefault="00DE784F" w:rsidP="002D0995">
      <w:r>
        <w:t xml:space="preserve">After posing the question to Dr. Land he showed me a process derived from many systems across many different disciplines.  This was </w:t>
      </w:r>
      <w:r w:rsidRPr="00D37AF9">
        <w:rPr>
          <w:i/>
          <w:iCs/>
        </w:rPr>
        <w:t>pasear</w:t>
      </w:r>
      <w:r>
        <w:t>, meaning “journey” in Spanish</w:t>
      </w:r>
      <w:r w:rsidR="00905DCF">
        <w:t>; we write it as</w:t>
      </w:r>
      <w:r>
        <w:t xml:space="preserve"> an acronym for the process </w:t>
      </w:r>
      <w:r w:rsidR="00905DCF">
        <w:t>steps</w:t>
      </w:r>
      <w:r>
        <w:t>:</w:t>
      </w:r>
    </w:p>
    <w:tbl>
      <w:tblPr>
        <w:tblStyle w:val="TableGrid"/>
        <w:tblW w:w="0" w:type="auto"/>
        <w:jc w:val="center"/>
        <w:tblLook w:val="04A0" w:firstRow="1" w:lastRow="0" w:firstColumn="1" w:lastColumn="0" w:noHBand="0" w:noVBand="1"/>
      </w:tblPr>
      <w:tblGrid>
        <w:gridCol w:w="1435"/>
      </w:tblGrid>
      <w:tr w:rsidR="00905DCF" w:rsidRPr="00D37AF9" w14:paraId="78936E6D" w14:textId="77777777" w:rsidTr="00905DCF">
        <w:trPr>
          <w:jc w:val="center"/>
        </w:trPr>
        <w:tc>
          <w:tcPr>
            <w:tcW w:w="1435" w:type="dxa"/>
            <w:shd w:val="clear" w:color="auto" w:fill="808080" w:themeFill="background1" w:themeFillShade="80"/>
          </w:tcPr>
          <w:p w14:paraId="6CCEDC6F" w14:textId="13DD4197" w:rsidR="00905DCF" w:rsidRPr="00D37AF9" w:rsidRDefault="00757A7F" w:rsidP="00905DCF">
            <w:pPr>
              <w:jc w:val="center"/>
              <w:rPr>
                <w:color w:val="000000" w:themeColor="text1"/>
              </w:rPr>
            </w:pPr>
            <w:r w:rsidRPr="00757A7F">
              <w:rPr>
                <w:b/>
                <w:bCs/>
                <w:color w:val="FFFFFF" w:themeColor="background1"/>
              </w:rPr>
              <w:t>PASEAR</w:t>
            </w:r>
          </w:p>
        </w:tc>
      </w:tr>
      <w:tr w:rsidR="00905DCF" w:rsidRPr="00D37AF9" w14:paraId="35F86F94" w14:textId="77D891B2" w:rsidTr="00905DCF">
        <w:trPr>
          <w:jc w:val="center"/>
        </w:trPr>
        <w:tc>
          <w:tcPr>
            <w:tcW w:w="1435" w:type="dxa"/>
          </w:tcPr>
          <w:p w14:paraId="1C424908" w14:textId="77777777" w:rsidR="00905DCF" w:rsidRPr="00D37AF9" w:rsidRDefault="00905DCF" w:rsidP="008D7603">
            <w:r w:rsidRPr="00905DCF">
              <w:rPr>
                <w:b/>
                <w:bCs/>
              </w:rPr>
              <w:t>P</w:t>
            </w:r>
            <w:r w:rsidRPr="00D37AF9">
              <w:t>erception</w:t>
            </w:r>
          </w:p>
        </w:tc>
      </w:tr>
      <w:tr w:rsidR="00905DCF" w:rsidRPr="00D37AF9" w14:paraId="44AD60B2" w14:textId="04174F5A" w:rsidTr="00905DCF">
        <w:trPr>
          <w:jc w:val="center"/>
        </w:trPr>
        <w:tc>
          <w:tcPr>
            <w:tcW w:w="1435" w:type="dxa"/>
          </w:tcPr>
          <w:p w14:paraId="16DD5909" w14:textId="77777777" w:rsidR="00905DCF" w:rsidRPr="00D37AF9" w:rsidRDefault="00905DCF" w:rsidP="008D7603">
            <w:r w:rsidRPr="00905DCF">
              <w:rPr>
                <w:b/>
                <w:bCs/>
              </w:rPr>
              <w:t>A</w:t>
            </w:r>
            <w:r w:rsidRPr="00D37AF9">
              <w:t>nalysis</w:t>
            </w:r>
          </w:p>
        </w:tc>
      </w:tr>
      <w:tr w:rsidR="00905DCF" w:rsidRPr="00D37AF9" w14:paraId="63C7845E" w14:textId="3387BE75" w:rsidTr="00905DCF">
        <w:trPr>
          <w:jc w:val="center"/>
        </w:trPr>
        <w:tc>
          <w:tcPr>
            <w:tcW w:w="1435" w:type="dxa"/>
          </w:tcPr>
          <w:p w14:paraId="4A636FDE" w14:textId="77777777" w:rsidR="00905DCF" w:rsidRPr="00D37AF9" w:rsidRDefault="00905DCF" w:rsidP="008D7603">
            <w:r w:rsidRPr="00905DCF">
              <w:rPr>
                <w:b/>
                <w:bCs/>
              </w:rPr>
              <w:t>S</w:t>
            </w:r>
            <w:r w:rsidRPr="00D37AF9">
              <w:t>ynthesis</w:t>
            </w:r>
          </w:p>
        </w:tc>
      </w:tr>
      <w:tr w:rsidR="00905DCF" w:rsidRPr="00D37AF9" w14:paraId="16C92D78" w14:textId="67785EE8" w:rsidTr="00905DCF">
        <w:trPr>
          <w:jc w:val="center"/>
        </w:trPr>
        <w:tc>
          <w:tcPr>
            <w:tcW w:w="1435" w:type="dxa"/>
          </w:tcPr>
          <w:p w14:paraId="782DF97D" w14:textId="77777777" w:rsidR="00905DCF" w:rsidRPr="00D37AF9" w:rsidRDefault="00905DCF" w:rsidP="008D7603">
            <w:r w:rsidRPr="00905DCF">
              <w:rPr>
                <w:b/>
                <w:bCs/>
              </w:rPr>
              <w:t>E</w:t>
            </w:r>
            <w:r w:rsidRPr="00D37AF9">
              <w:t>valuation</w:t>
            </w:r>
          </w:p>
        </w:tc>
      </w:tr>
      <w:tr w:rsidR="00905DCF" w:rsidRPr="00D37AF9" w14:paraId="0148219C" w14:textId="4A26E605" w:rsidTr="00905DCF">
        <w:trPr>
          <w:jc w:val="center"/>
        </w:trPr>
        <w:tc>
          <w:tcPr>
            <w:tcW w:w="1435" w:type="dxa"/>
          </w:tcPr>
          <w:p w14:paraId="3EE20E37" w14:textId="77777777" w:rsidR="00905DCF" w:rsidRPr="00D37AF9" w:rsidRDefault="00905DCF" w:rsidP="008D7603">
            <w:r w:rsidRPr="00905DCF">
              <w:rPr>
                <w:b/>
                <w:bCs/>
              </w:rPr>
              <w:t>A</w:t>
            </w:r>
            <w:r w:rsidRPr="00D37AF9">
              <w:t>ction</w:t>
            </w:r>
          </w:p>
        </w:tc>
      </w:tr>
      <w:tr w:rsidR="00905DCF" w:rsidRPr="00D37AF9" w14:paraId="342D2495" w14:textId="7D9B2FE8" w:rsidTr="00905DCF">
        <w:trPr>
          <w:jc w:val="center"/>
        </w:trPr>
        <w:tc>
          <w:tcPr>
            <w:tcW w:w="1435" w:type="dxa"/>
          </w:tcPr>
          <w:p w14:paraId="473E180A" w14:textId="77777777" w:rsidR="00905DCF" w:rsidRPr="00D37AF9" w:rsidRDefault="00905DCF" w:rsidP="008D7603">
            <w:r w:rsidRPr="00905DCF">
              <w:rPr>
                <w:b/>
                <w:bCs/>
              </w:rPr>
              <w:t>R</w:t>
            </w:r>
            <w:r w:rsidRPr="00D37AF9">
              <w:t xml:space="preserve">esponse </w:t>
            </w:r>
          </w:p>
        </w:tc>
      </w:tr>
    </w:tbl>
    <w:p w14:paraId="08A310C4" w14:textId="77777777" w:rsidR="002D0995" w:rsidRPr="002D0995" w:rsidRDefault="002D0995" w:rsidP="002D0995"/>
    <w:p w14:paraId="5D3C3123" w14:textId="77777777" w:rsidR="00905DCF" w:rsidRDefault="00905DCF" w:rsidP="0068235E">
      <w:r>
        <w:t xml:space="preserve">Each step, consistent with Creative Production, starts with a divergent exercise to develop ideas, and ends with convergent voting to product a Profile. </w:t>
      </w:r>
    </w:p>
    <w:tbl>
      <w:tblPr>
        <w:tblStyle w:val="TableGrid"/>
        <w:tblW w:w="9445" w:type="dxa"/>
        <w:tblLook w:val="04A0" w:firstRow="1" w:lastRow="0" w:firstColumn="1" w:lastColumn="0" w:noHBand="0" w:noVBand="1"/>
      </w:tblPr>
      <w:tblGrid>
        <w:gridCol w:w="1435"/>
        <w:gridCol w:w="8010"/>
      </w:tblGrid>
      <w:tr w:rsidR="00905DCF" w:rsidRPr="00D37AF9" w14:paraId="7B877A09" w14:textId="77777777" w:rsidTr="00905DCF">
        <w:tc>
          <w:tcPr>
            <w:tcW w:w="1435" w:type="dxa"/>
            <w:shd w:val="clear" w:color="auto" w:fill="808080" w:themeFill="background1" w:themeFillShade="80"/>
          </w:tcPr>
          <w:p w14:paraId="6935ECE6" w14:textId="77777777" w:rsidR="00905DCF" w:rsidRPr="00D37AF9" w:rsidRDefault="00905DCF" w:rsidP="008262EF">
            <w:pPr>
              <w:rPr>
                <w:color w:val="000000" w:themeColor="text1"/>
              </w:rPr>
            </w:pPr>
          </w:p>
        </w:tc>
        <w:tc>
          <w:tcPr>
            <w:tcW w:w="8010" w:type="dxa"/>
          </w:tcPr>
          <w:p w14:paraId="54CE1496" w14:textId="7A7458CE" w:rsidR="00905DCF" w:rsidRPr="00905DCF" w:rsidRDefault="00905DCF" w:rsidP="00905DCF">
            <w:pPr>
              <w:rPr>
                <w:b/>
                <w:bCs/>
              </w:rPr>
            </w:pPr>
            <w:r>
              <w:rPr>
                <w:b/>
                <w:bCs/>
              </w:rPr>
              <w:t>Elicitation Question, “Imagine we have achieved the ideal future…</w:t>
            </w:r>
          </w:p>
        </w:tc>
      </w:tr>
      <w:tr w:rsidR="00905DCF" w:rsidRPr="00D37AF9" w14:paraId="1B024CFF" w14:textId="77777777" w:rsidTr="00905DCF">
        <w:tc>
          <w:tcPr>
            <w:tcW w:w="1435" w:type="dxa"/>
          </w:tcPr>
          <w:p w14:paraId="1761B00C" w14:textId="77777777" w:rsidR="00905DCF" w:rsidRPr="00D37AF9" w:rsidRDefault="00905DCF" w:rsidP="008262EF">
            <w:r w:rsidRPr="00905DCF">
              <w:rPr>
                <w:b/>
                <w:bCs/>
              </w:rPr>
              <w:t>P</w:t>
            </w:r>
            <w:r w:rsidRPr="00D37AF9">
              <w:t>erception</w:t>
            </w:r>
          </w:p>
        </w:tc>
        <w:tc>
          <w:tcPr>
            <w:tcW w:w="8010" w:type="dxa"/>
          </w:tcPr>
          <w:p w14:paraId="19AB6ABE" w14:textId="22B653C6" w:rsidR="00905DCF" w:rsidRPr="00D37AF9" w:rsidRDefault="00905DCF" w:rsidP="00757A7F">
            <w:r>
              <w:t>What information did we know?</w:t>
            </w:r>
          </w:p>
        </w:tc>
      </w:tr>
      <w:tr w:rsidR="00905DCF" w:rsidRPr="00D37AF9" w14:paraId="0BF19FC3" w14:textId="77777777" w:rsidTr="00905DCF">
        <w:tc>
          <w:tcPr>
            <w:tcW w:w="1435" w:type="dxa"/>
          </w:tcPr>
          <w:p w14:paraId="42508151" w14:textId="77777777" w:rsidR="00905DCF" w:rsidRPr="00D37AF9" w:rsidRDefault="00905DCF" w:rsidP="008262EF">
            <w:r w:rsidRPr="00905DCF">
              <w:rPr>
                <w:b/>
                <w:bCs/>
              </w:rPr>
              <w:t>A</w:t>
            </w:r>
            <w:r w:rsidRPr="00D37AF9">
              <w:t>nalysis</w:t>
            </w:r>
          </w:p>
        </w:tc>
        <w:tc>
          <w:tcPr>
            <w:tcW w:w="8010" w:type="dxa"/>
          </w:tcPr>
          <w:p w14:paraId="257DE07C" w14:textId="10E2CE47" w:rsidR="00905DCF" w:rsidRPr="00D37AF9" w:rsidRDefault="00905DCF" w:rsidP="00757A7F">
            <w:r>
              <w:t>What are the criteria for success? (</w:t>
            </w:r>
            <w:r w:rsidRPr="00905DCF">
              <w:rPr>
                <w:i/>
                <w:iCs/>
              </w:rPr>
              <w:t>this is a CST process</w:t>
            </w:r>
            <w:r>
              <w:t>)</w:t>
            </w:r>
          </w:p>
        </w:tc>
      </w:tr>
      <w:tr w:rsidR="00905DCF" w:rsidRPr="00D37AF9" w14:paraId="361CEA69" w14:textId="77777777" w:rsidTr="00905DCF">
        <w:tc>
          <w:tcPr>
            <w:tcW w:w="1435" w:type="dxa"/>
          </w:tcPr>
          <w:p w14:paraId="4F8AAFD7" w14:textId="77777777" w:rsidR="00905DCF" w:rsidRPr="00D37AF9" w:rsidRDefault="00905DCF" w:rsidP="008262EF">
            <w:r w:rsidRPr="00905DCF">
              <w:rPr>
                <w:b/>
                <w:bCs/>
              </w:rPr>
              <w:t>S</w:t>
            </w:r>
            <w:r w:rsidRPr="00D37AF9">
              <w:t>ynthesis</w:t>
            </w:r>
          </w:p>
        </w:tc>
        <w:tc>
          <w:tcPr>
            <w:tcW w:w="8010" w:type="dxa"/>
          </w:tcPr>
          <w:p w14:paraId="1688A732" w14:textId="4A6E880D" w:rsidR="00905DCF" w:rsidRPr="00D37AF9" w:rsidRDefault="00905DCF" w:rsidP="00757A7F">
            <w:r>
              <w:t>What alternative solutions exist, and how can they be combined?</w:t>
            </w:r>
          </w:p>
        </w:tc>
      </w:tr>
      <w:tr w:rsidR="00905DCF" w:rsidRPr="00D37AF9" w14:paraId="662B9E8D" w14:textId="77777777" w:rsidTr="00905DCF">
        <w:tc>
          <w:tcPr>
            <w:tcW w:w="1435" w:type="dxa"/>
          </w:tcPr>
          <w:p w14:paraId="0E599357" w14:textId="77777777" w:rsidR="00905DCF" w:rsidRPr="00D37AF9" w:rsidRDefault="00905DCF" w:rsidP="008262EF">
            <w:r w:rsidRPr="00905DCF">
              <w:rPr>
                <w:b/>
                <w:bCs/>
              </w:rPr>
              <w:t>E</w:t>
            </w:r>
            <w:r w:rsidRPr="00D37AF9">
              <w:t>valuation</w:t>
            </w:r>
          </w:p>
        </w:tc>
        <w:tc>
          <w:tcPr>
            <w:tcW w:w="8010" w:type="dxa"/>
          </w:tcPr>
          <w:p w14:paraId="1D76383D" w14:textId="0ACBD963" w:rsidR="00905DCF" w:rsidRPr="00D37AF9" w:rsidRDefault="00905DCF" w:rsidP="00757A7F">
            <w:r>
              <w:t>How do the alternatives compare with each other? Which is best?</w:t>
            </w:r>
          </w:p>
        </w:tc>
      </w:tr>
      <w:tr w:rsidR="00905DCF" w:rsidRPr="00D37AF9" w14:paraId="53B3A53F" w14:textId="77777777" w:rsidTr="00905DCF">
        <w:tc>
          <w:tcPr>
            <w:tcW w:w="1435" w:type="dxa"/>
          </w:tcPr>
          <w:p w14:paraId="326E851A" w14:textId="77777777" w:rsidR="00905DCF" w:rsidRPr="00D37AF9" w:rsidRDefault="00905DCF" w:rsidP="008262EF">
            <w:r w:rsidRPr="00905DCF">
              <w:rPr>
                <w:b/>
                <w:bCs/>
              </w:rPr>
              <w:t>A</w:t>
            </w:r>
            <w:r w:rsidRPr="00D37AF9">
              <w:t>ction</w:t>
            </w:r>
          </w:p>
        </w:tc>
        <w:tc>
          <w:tcPr>
            <w:tcW w:w="8010" w:type="dxa"/>
          </w:tcPr>
          <w:p w14:paraId="54F51647" w14:textId="3EAD93A2" w:rsidR="00905DCF" w:rsidRPr="00D37AF9" w:rsidRDefault="00757A7F" w:rsidP="00757A7F">
            <w:r>
              <w:t>What actions could we take as a result of these findings?</w:t>
            </w:r>
          </w:p>
        </w:tc>
      </w:tr>
      <w:tr w:rsidR="00905DCF" w:rsidRPr="00D37AF9" w14:paraId="37EC592F" w14:textId="77777777" w:rsidTr="00905DCF">
        <w:tc>
          <w:tcPr>
            <w:tcW w:w="1435" w:type="dxa"/>
          </w:tcPr>
          <w:p w14:paraId="2DD746D1" w14:textId="77777777" w:rsidR="00905DCF" w:rsidRPr="00D37AF9" w:rsidRDefault="00905DCF" w:rsidP="008262EF">
            <w:r w:rsidRPr="00905DCF">
              <w:rPr>
                <w:b/>
                <w:bCs/>
              </w:rPr>
              <w:t>R</w:t>
            </w:r>
            <w:r w:rsidRPr="00D37AF9">
              <w:t xml:space="preserve">esponse </w:t>
            </w:r>
          </w:p>
        </w:tc>
        <w:tc>
          <w:tcPr>
            <w:tcW w:w="8010" w:type="dxa"/>
          </w:tcPr>
          <w:p w14:paraId="36C49891" w14:textId="109735B6" w:rsidR="00905DCF" w:rsidRPr="00D37AF9" w:rsidRDefault="00757A7F" w:rsidP="00757A7F">
            <w:r>
              <w:t>What measurement systems must be in place to monitor performance?</w:t>
            </w:r>
          </w:p>
        </w:tc>
      </w:tr>
    </w:tbl>
    <w:p w14:paraId="699B3584" w14:textId="0260F8FA" w:rsidR="00905DCF" w:rsidRDefault="00905DCF" w:rsidP="0068235E"/>
    <w:p w14:paraId="37BE6844" w14:textId="5D57A99B" w:rsidR="0068235E" w:rsidRDefault="00905DCF" w:rsidP="0068235E">
      <w:r>
        <w:t xml:space="preserve">The feature that most differentiates PASEAR is that </w:t>
      </w:r>
      <w:r w:rsidR="00757A7F">
        <w:t xml:space="preserve">some </w:t>
      </w:r>
      <w:r>
        <w:t xml:space="preserve">steps are </w:t>
      </w:r>
      <w:r w:rsidR="00757A7F">
        <w:t>omitted</w:t>
      </w:r>
      <w:r>
        <w:t xml:space="preserve"> according to the system’s current stage of development.</w:t>
      </w:r>
    </w:p>
    <w:tbl>
      <w:tblPr>
        <w:tblStyle w:val="TableGrid"/>
        <w:tblW w:w="0" w:type="auto"/>
        <w:tblLook w:val="04A0" w:firstRow="1" w:lastRow="0" w:firstColumn="1" w:lastColumn="0" w:noHBand="0" w:noVBand="1"/>
      </w:tblPr>
      <w:tblGrid>
        <w:gridCol w:w="1435"/>
        <w:gridCol w:w="1435"/>
        <w:gridCol w:w="1435"/>
        <w:gridCol w:w="1435"/>
      </w:tblGrid>
      <w:tr w:rsidR="00905DCF" w:rsidRPr="00D37AF9" w14:paraId="15D87C20" w14:textId="77777777" w:rsidTr="00757A7F">
        <w:tc>
          <w:tcPr>
            <w:tcW w:w="1435" w:type="dxa"/>
            <w:shd w:val="clear" w:color="auto" w:fill="808080" w:themeFill="background1" w:themeFillShade="80"/>
          </w:tcPr>
          <w:p w14:paraId="3BD8D89E" w14:textId="77777777" w:rsidR="00905DCF" w:rsidRPr="00D37AF9" w:rsidRDefault="00905DCF" w:rsidP="008262EF">
            <w:pPr>
              <w:rPr>
                <w:color w:val="000000" w:themeColor="text1"/>
              </w:rPr>
            </w:pPr>
          </w:p>
        </w:tc>
        <w:tc>
          <w:tcPr>
            <w:tcW w:w="1435" w:type="dxa"/>
            <w:shd w:val="clear" w:color="auto" w:fill="7030A0"/>
          </w:tcPr>
          <w:p w14:paraId="08FAF7F9" w14:textId="77777777" w:rsidR="00905DCF" w:rsidRPr="00757A7F" w:rsidRDefault="00905DCF" w:rsidP="008262EF">
            <w:pPr>
              <w:jc w:val="center"/>
              <w:rPr>
                <w:b/>
                <w:bCs/>
                <w:color w:val="FFFFFF" w:themeColor="background1"/>
              </w:rPr>
            </w:pPr>
            <w:r w:rsidRPr="00757A7F">
              <w:rPr>
                <w:b/>
                <w:bCs/>
                <w:color w:val="FFFFFF" w:themeColor="background1"/>
              </w:rPr>
              <w:t>Phase I</w:t>
            </w:r>
          </w:p>
        </w:tc>
        <w:tc>
          <w:tcPr>
            <w:tcW w:w="1435" w:type="dxa"/>
            <w:shd w:val="clear" w:color="auto" w:fill="7030A0"/>
          </w:tcPr>
          <w:p w14:paraId="1F07C561" w14:textId="77777777" w:rsidR="00905DCF" w:rsidRPr="00757A7F" w:rsidRDefault="00905DCF" w:rsidP="008262EF">
            <w:pPr>
              <w:jc w:val="center"/>
              <w:rPr>
                <w:b/>
                <w:bCs/>
                <w:color w:val="FFFFFF" w:themeColor="background1"/>
              </w:rPr>
            </w:pPr>
            <w:r w:rsidRPr="00757A7F">
              <w:rPr>
                <w:b/>
                <w:bCs/>
                <w:color w:val="FFFFFF" w:themeColor="background1"/>
              </w:rPr>
              <w:t>Phase II</w:t>
            </w:r>
          </w:p>
        </w:tc>
        <w:tc>
          <w:tcPr>
            <w:tcW w:w="1435" w:type="dxa"/>
            <w:shd w:val="clear" w:color="auto" w:fill="7030A0"/>
          </w:tcPr>
          <w:p w14:paraId="082BDD61" w14:textId="77777777" w:rsidR="00905DCF" w:rsidRPr="00757A7F" w:rsidRDefault="00905DCF" w:rsidP="008262EF">
            <w:pPr>
              <w:jc w:val="center"/>
              <w:rPr>
                <w:b/>
                <w:bCs/>
                <w:color w:val="FFFFFF" w:themeColor="background1"/>
              </w:rPr>
            </w:pPr>
            <w:r w:rsidRPr="00757A7F">
              <w:rPr>
                <w:b/>
                <w:bCs/>
                <w:color w:val="FFFFFF" w:themeColor="background1"/>
              </w:rPr>
              <w:t>Phase III</w:t>
            </w:r>
          </w:p>
        </w:tc>
      </w:tr>
      <w:tr w:rsidR="00905DCF" w:rsidRPr="00D37AF9" w14:paraId="3F42AF66" w14:textId="77777777" w:rsidTr="008262EF">
        <w:tc>
          <w:tcPr>
            <w:tcW w:w="1435" w:type="dxa"/>
          </w:tcPr>
          <w:p w14:paraId="2D1E9FB5" w14:textId="77777777" w:rsidR="00905DCF" w:rsidRPr="00D37AF9" w:rsidRDefault="00905DCF" w:rsidP="008262EF">
            <w:r w:rsidRPr="00905DCF">
              <w:rPr>
                <w:b/>
                <w:bCs/>
              </w:rPr>
              <w:t>P</w:t>
            </w:r>
            <w:r w:rsidRPr="00D37AF9">
              <w:t>erception</w:t>
            </w:r>
          </w:p>
        </w:tc>
        <w:tc>
          <w:tcPr>
            <w:tcW w:w="1435" w:type="dxa"/>
          </w:tcPr>
          <w:p w14:paraId="0AE1B28E" w14:textId="77777777" w:rsidR="00905DCF" w:rsidRPr="00D37AF9" w:rsidRDefault="00905DCF" w:rsidP="008262EF">
            <w:pPr>
              <w:jc w:val="center"/>
            </w:pPr>
            <w:r>
              <w:t>P</w:t>
            </w:r>
          </w:p>
        </w:tc>
        <w:tc>
          <w:tcPr>
            <w:tcW w:w="1435" w:type="dxa"/>
          </w:tcPr>
          <w:p w14:paraId="0F8BB639" w14:textId="77777777" w:rsidR="00905DCF" w:rsidRPr="00D37AF9" w:rsidRDefault="00905DCF" w:rsidP="008262EF">
            <w:pPr>
              <w:jc w:val="center"/>
            </w:pPr>
            <w:r>
              <w:t>P</w:t>
            </w:r>
          </w:p>
        </w:tc>
        <w:tc>
          <w:tcPr>
            <w:tcW w:w="1435" w:type="dxa"/>
          </w:tcPr>
          <w:p w14:paraId="7DDA6ADE" w14:textId="77777777" w:rsidR="00905DCF" w:rsidRPr="00D37AF9" w:rsidRDefault="00905DCF" w:rsidP="008262EF">
            <w:pPr>
              <w:jc w:val="center"/>
            </w:pPr>
            <w:r>
              <w:t>P</w:t>
            </w:r>
          </w:p>
        </w:tc>
      </w:tr>
      <w:tr w:rsidR="00905DCF" w:rsidRPr="00D37AF9" w14:paraId="5F28D9A0" w14:textId="77777777" w:rsidTr="00757A7F">
        <w:tc>
          <w:tcPr>
            <w:tcW w:w="1435" w:type="dxa"/>
          </w:tcPr>
          <w:p w14:paraId="7C4FB37E" w14:textId="77777777" w:rsidR="00905DCF" w:rsidRPr="00D37AF9" w:rsidRDefault="00905DCF" w:rsidP="008262EF">
            <w:r w:rsidRPr="00905DCF">
              <w:rPr>
                <w:b/>
                <w:bCs/>
              </w:rPr>
              <w:t>A</w:t>
            </w:r>
            <w:r w:rsidRPr="00D37AF9">
              <w:t>nalysis</w:t>
            </w:r>
          </w:p>
        </w:tc>
        <w:tc>
          <w:tcPr>
            <w:tcW w:w="1435" w:type="dxa"/>
            <w:shd w:val="clear" w:color="auto" w:fill="808080" w:themeFill="background1" w:themeFillShade="80"/>
          </w:tcPr>
          <w:p w14:paraId="18A5E801" w14:textId="77777777" w:rsidR="00905DCF" w:rsidRPr="00757A7F" w:rsidRDefault="00905DCF" w:rsidP="00757A7F">
            <w:pPr>
              <w:rPr>
                <w:color w:val="000000" w:themeColor="text1"/>
              </w:rPr>
            </w:pPr>
          </w:p>
        </w:tc>
        <w:tc>
          <w:tcPr>
            <w:tcW w:w="1435" w:type="dxa"/>
          </w:tcPr>
          <w:p w14:paraId="2FC23253" w14:textId="77777777" w:rsidR="00905DCF" w:rsidRPr="00D37AF9" w:rsidRDefault="00905DCF" w:rsidP="008262EF">
            <w:pPr>
              <w:jc w:val="center"/>
            </w:pPr>
            <w:r>
              <w:t>A</w:t>
            </w:r>
          </w:p>
        </w:tc>
        <w:tc>
          <w:tcPr>
            <w:tcW w:w="1435" w:type="dxa"/>
          </w:tcPr>
          <w:p w14:paraId="48116A53" w14:textId="77777777" w:rsidR="00905DCF" w:rsidRPr="00D37AF9" w:rsidRDefault="00905DCF" w:rsidP="008262EF">
            <w:pPr>
              <w:jc w:val="center"/>
            </w:pPr>
            <w:r>
              <w:t>A</w:t>
            </w:r>
          </w:p>
        </w:tc>
      </w:tr>
      <w:tr w:rsidR="00905DCF" w:rsidRPr="00D37AF9" w14:paraId="0946E834" w14:textId="77777777" w:rsidTr="00757A7F">
        <w:tc>
          <w:tcPr>
            <w:tcW w:w="1435" w:type="dxa"/>
          </w:tcPr>
          <w:p w14:paraId="3D31C969" w14:textId="77777777" w:rsidR="00905DCF" w:rsidRPr="00D37AF9" w:rsidRDefault="00905DCF" w:rsidP="008262EF">
            <w:r w:rsidRPr="00905DCF">
              <w:rPr>
                <w:b/>
                <w:bCs/>
              </w:rPr>
              <w:t>S</w:t>
            </w:r>
            <w:r w:rsidRPr="00D37AF9">
              <w:t>ynthesis</w:t>
            </w:r>
          </w:p>
        </w:tc>
        <w:tc>
          <w:tcPr>
            <w:tcW w:w="1435" w:type="dxa"/>
            <w:shd w:val="clear" w:color="auto" w:fill="808080" w:themeFill="background1" w:themeFillShade="80"/>
          </w:tcPr>
          <w:p w14:paraId="3A088568" w14:textId="77777777" w:rsidR="00905DCF" w:rsidRPr="00757A7F" w:rsidRDefault="00905DCF" w:rsidP="00757A7F">
            <w:pPr>
              <w:rPr>
                <w:color w:val="000000" w:themeColor="text1"/>
              </w:rPr>
            </w:pPr>
          </w:p>
        </w:tc>
        <w:tc>
          <w:tcPr>
            <w:tcW w:w="1435" w:type="dxa"/>
            <w:shd w:val="clear" w:color="auto" w:fill="808080" w:themeFill="background1" w:themeFillShade="80"/>
          </w:tcPr>
          <w:p w14:paraId="73F2AC76" w14:textId="77777777" w:rsidR="00905DCF" w:rsidRPr="00D37AF9" w:rsidRDefault="00905DCF" w:rsidP="008262EF">
            <w:pPr>
              <w:jc w:val="center"/>
            </w:pPr>
          </w:p>
        </w:tc>
        <w:tc>
          <w:tcPr>
            <w:tcW w:w="1435" w:type="dxa"/>
          </w:tcPr>
          <w:p w14:paraId="3FCF2839" w14:textId="77777777" w:rsidR="00905DCF" w:rsidRPr="00D37AF9" w:rsidRDefault="00905DCF" w:rsidP="008262EF">
            <w:pPr>
              <w:jc w:val="center"/>
            </w:pPr>
            <w:r>
              <w:t>S</w:t>
            </w:r>
          </w:p>
        </w:tc>
      </w:tr>
      <w:tr w:rsidR="00905DCF" w:rsidRPr="00D37AF9" w14:paraId="77E08135" w14:textId="77777777" w:rsidTr="00757A7F">
        <w:tc>
          <w:tcPr>
            <w:tcW w:w="1435" w:type="dxa"/>
          </w:tcPr>
          <w:p w14:paraId="0046D009" w14:textId="77777777" w:rsidR="00905DCF" w:rsidRPr="00D37AF9" w:rsidRDefault="00905DCF" w:rsidP="008262EF">
            <w:r w:rsidRPr="00905DCF">
              <w:rPr>
                <w:b/>
                <w:bCs/>
              </w:rPr>
              <w:t>E</w:t>
            </w:r>
            <w:r w:rsidRPr="00D37AF9">
              <w:t>valuation</w:t>
            </w:r>
          </w:p>
        </w:tc>
        <w:tc>
          <w:tcPr>
            <w:tcW w:w="1435" w:type="dxa"/>
            <w:shd w:val="clear" w:color="auto" w:fill="808080" w:themeFill="background1" w:themeFillShade="80"/>
          </w:tcPr>
          <w:p w14:paraId="37A7A523" w14:textId="77777777" w:rsidR="00905DCF" w:rsidRPr="00757A7F" w:rsidRDefault="00905DCF" w:rsidP="00757A7F">
            <w:pPr>
              <w:rPr>
                <w:color w:val="000000" w:themeColor="text1"/>
              </w:rPr>
            </w:pPr>
          </w:p>
        </w:tc>
        <w:tc>
          <w:tcPr>
            <w:tcW w:w="1435" w:type="dxa"/>
          </w:tcPr>
          <w:p w14:paraId="35770E94" w14:textId="77777777" w:rsidR="00905DCF" w:rsidRPr="00D37AF9" w:rsidRDefault="00905DCF" w:rsidP="008262EF">
            <w:pPr>
              <w:jc w:val="center"/>
            </w:pPr>
            <w:r>
              <w:t>E</w:t>
            </w:r>
          </w:p>
        </w:tc>
        <w:tc>
          <w:tcPr>
            <w:tcW w:w="1435" w:type="dxa"/>
          </w:tcPr>
          <w:p w14:paraId="337703FB" w14:textId="77777777" w:rsidR="00905DCF" w:rsidRPr="00D37AF9" w:rsidRDefault="00905DCF" w:rsidP="008262EF">
            <w:pPr>
              <w:jc w:val="center"/>
            </w:pPr>
            <w:r>
              <w:t>E</w:t>
            </w:r>
          </w:p>
        </w:tc>
      </w:tr>
      <w:tr w:rsidR="00905DCF" w:rsidRPr="00D37AF9" w14:paraId="63E3E1A6" w14:textId="77777777" w:rsidTr="008262EF">
        <w:tc>
          <w:tcPr>
            <w:tcW w:w="1435" w:type="dxa"/>
          </w:tcPr>
          <w:p w14:paraId="7AC9C3F7" w14:textId="77777777" w:rsidR="00905DCF" w:rsidRPr="00D37AF9" w:rsidRDefault="00905DCF" w:rsidP="008262EF">
            <w:r w:rsidRPr="00905DCF">
              <w:rPr>
                <w:b/>
                <w:bCs/>
              </w:rPr>
              <w:t>A</w:t>
            </w:r>
            <w:r w:rsidRPr="00D37AF9">
              <w:t>ction</w:t>
            </w:r>
          </w:p>
        </w:tc>
        <w:tc>
          <w:tcPr>
            <w:tcW w:w="1435" w:type="dxa"/>
          </w:tcPr>
          <w:p w14:paraId="296FC25C" w14:textId="77777777" w:rsidR="00905DCF" w:rsidRPr="00D37AF9" w:rsidRDefault="00905DCF" w:rsidP="008262EF">
            <w:pPr>
              <w:jc w:val="center"/>
            </w:pPr>
            <w:r>
              <w:t>A</w:t>
            </w:r>
          </w:p>
        </w:tc>
        <w:tc>
          <w:tcPr>
            <w:tcW w:w="1435" w:type="dxa"/>
          </w:tcPr>
          <w:p w14:paraId="3F7FFEFD" w14:textId="77777777" w:rsidR="00905DCF" w:rsidRPr="00D37AF9" w:rsidRDefault="00905DCF" w:rsidP="008262EF">
            <w:pPr>
              <w:jc w:val="center"/>
            </w:pPr>
            <w:r>
              <w:t>A</w:t>
            </w:r>
          </w:p>
        </w:tc>
        <w:tc>
          <w:tcPr>
            <w:tcW w:w="1435" w:type="dxa"/>
          </w:tcPr>
          <w:p w14:paraId="2C661943" w14:textId="77777777" w:rsidR="00905DCF" w:rsidRPr="00D37AF9" w:rsidRDefault="00905DCF" w:rsidP="008262EF">
            <w:pPr>
              <w:jc w:val="center"/>
            </w:pPr>
            <w:r>
              <w:t>A</w:t>
            </w:r>
          </w:p>
        </w:tc>
      </w:tr>
      <w:tr w:rsidR="00905DCF" w:rsidRPr="00D37AF9" w14:paraId="003D5BF9" w14:textId="77777777" w:rsidTr="008262EF">
        <w:tc>
          <w:tcPr>
            <w:tcW w:w="1435" w:type="dxa"/>
          </w:tcPr>
          <w:p w14:paraId="385493FE" w14:textId="77777777" w:rsidR="00905DCF" w:rsidRPr="00D37AF9" w:rsidRDefault="00905DCF" w:rsidP="008262EF">
            <w:r w:rsidRPr="00905DCF">
              <w:rPr>
                <w:b/>
                <w:bCs/>
              </w:rPr>
              <w:t>R</w:t>
            </w:r>
            <w:r w:rsidRPr="00D37AF9">
              <w:t xml:space="preserve">esponse </w:t>
            </w:r>
          </w:p>
        </w:tc>
        <w:tc>
          <w:tcPr>
            <w:tcW w:w="1435" w:type="dxa"/>
          </w:tcPr>
          <w:p w14:paraId="1FBE4653" w14:textId="77777777" w:rsidR="00905DCF" w:rsidRPr="00D37AF9" w:rsidRDefault="00905DCF" w:rsidP="008262EF">
            <w:pPr>
              <w:jc w:val="center"/>
            </w:pPr>
            <w:r>
              <w:t>R</w:t>
            </w:r>
          </w:p>
        </w:tc>
        <w:tc>
          <w:tcPr>
            <w:tcW w:w="1435" w:type="dxa"/>
          </w:tcPr>
          <w:p w14:paraId="619CA9D4" w14:textId="77777777" w:rsidR="00905DCF" w:rsidRPr="00D37AF9" w:rsidRDefault="00905DCF" w:rsidP="008262EF">
            <w:pPr>
              <w:jc w:val="center"/>
            </w:pPr>
            <w:r>
              <w:t>R</w:t>
            </w:r>
          </w:p>
        </w:tc>
        <w:tc>
          <w:tcPr>
            <w:tcW w:w="1435" w:type="dxa"/>
          </w:tcPr>
          <w:p w14:paraId="522C1563" w14:textId="77777777" w:rsidR="00905DCF" w:rsidRPr="00D37AF9" w:rsidRDefault="00905DCF" w:rsidP="008262EF">
            <w:pPr>
              <w:jc w:val="center"/>
            </w:pPr>
            <w:r>
              <w:t>R</w:t>
            </w:r>
          </w:p>
        </w:tc>
      </w:tr>
    </w:tbl>
    <w:p w14:paraId="160AEAA7" w14:textId="77777777" w:rsidR="00905DCF" w:rsidRDefault="00905DCF" w:rsidP="0068235E"/>
    <w:p w14:paraId="1C7E20B9" w14:textId="7BB750A9" w:rsidR="00757A7F" w:rsidRPr="0068235E" w:rsidRDefault="00757A7F" w:rsidP="0068235E">
      <w:r>
        <w:t>A PASEAR session was the equivalent of six CST sessions.  It was too large to due in a Same Time/Same Place situation.  However, with the distributed resources of CoNexus 8, it may yet be a valued addition to our consulting processes.</w:t>
      </w:r>
    </w:p>
    <w:sectPr w:rsidR="00757A7F" w:rsidRPr="0068235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CED8A" w14:textId="77777777" w:rsidR="00AB384C" w:rsidRDefault="00AB384C" w:rsidP="003C0663">
      <w:pPr>
        <w:spacing w:after="0" w:line="240" w:lineRule="auto"/>
      </w:pPr>
      <w:r>
        <w:separator/>
      </w:r>
    </w:p>
  </w:endnote>
  <w:endnote w:type="continuationSeparator" w:id="0">
    <w:p w14:paraId="0432071B" w14:textId="77777777" w:rsidR="00AB384C" w:rsidRDefault="00AB384C" w:rsidP="003C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3095923"/>
      <w:docPartObj>
        <w:docPartGallery w:val="Page Numbers (Bottom of Page)"/>
        <w:docPartUnique/>
      </w:docPartObj>
    </w:sdtPr>
    <w:sdtContent>
      <w:sdt>
        <w:sdtPr>
          <w:id w:val="1728636285"/>
          <w:docPartObj>
            <w:docPartGallery w:val="Page Numbers (Top of Page)"/>
            <w:docPartUnique/>
          </w:docPartObj>
        </w:sdtPr>
        <w:sdtContent>
          <w:p w14:paraId="7D64601E" w14:textId="023AEB26" w:rsidR="003C0663" w:rsidRDefault="003C0663" w:rsidP="003C0663">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EA6B11" w14:textId="77777777" w:rsidR="003C0663" w:rsidRDefault="003C0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3BD2F" w14:textId="77777777" w:rsidR="00AB384C" w:rsidRDefault="00AB384C" w:rsidP="003C0663">
      <w:pPr>
        <w:spacing w:after="0" w:line="240" w:lineRule="auto"/>
      </w:pPr>
      <w:r>
        <w:separator/>
      </w:r>
    </w:p>
  </w:footnote>
  <w:footnote w:type="continuationSeparator" w:id="0">
    <w:p w14:paraId="003973CC" w14:textId="77777777" w:rsidR="00AB384C" w:rsidRDefault="00AB384C" w:rsidP="003C0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B12B74"/>
    <w:multiLevelType w:val="hybridMultilevel"/>
    <w:tmpl w:val="2026AD52"/>
    <w:lvl w:ilvl="0" w:tplc="346EB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81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1F"/>
    <w:rsid w:val="002D0995"/>
    <w:rsid w:val="003C0663"/>
    <w:rsid w:val="004B202E"/>
    <w:rsid w:val="005356D2"/>
    <w:rsid w:val="0058131F"/>
    <w:rsid w:val="0068235E"/>
    <w:rsid w:val="00692DBF"/>
    <w:rsid w:val="006A7856"/>
    <w:rsid w:val="00757A7F"/>
    <w:rsid w:val="007C033D"/>
    <w:rsid w:val="007D7606"/>
    <w:rsid w:val="0087421F"/>
    <w:rsid w:val="00904D86"/>
    <w:rsid w:val="00905DCF"/>
    <w:rsid w:val="00AB384C"/>
    <w:rsid w:val="00B463DF"/>
    <w:rsid w:val="00BC3C07"/>
    <w:rsid w:val="00D37AF9"/>
    <w:rsid w:val="00D80FA6"/>
    <w:rsid w:val="00DE784F"/>
    <w:rsid w:val="00E620F5"/>
    <w:rsid w:val="00F81051"/>
    <w:rsid w:val="00F8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2E63B9"/>
  <w15:chartTrackingRefBased/>
  <w15:docId w15:val="{D1798D7C-CBA7-4D15-917F-4C87E83D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DCF"/>
  </w:style>
  <w:style w:type="paragraph" w:styleId="Heading1">
    <w:name w:val="heading 1"/>
    <w:basedOn w:val="Normal"/>
    <w:next w:val="Normal"/>
    <w:link w:val="Heading1Char"/>
    <w:uiPriority w:val="9"/>
    <w:qFormat/>
    <w:rsid w:val="0058131F"/>
    <w:pPr>
      <w:keepNext/>
      <w:keepLines/>
      <w:spacing w:before="360" w:after="80"/>
      <w:outlineLvl w:val="0"/>
    </w:pPr>
    <w:rPr>
      <w:rFonts w:asciiTheme="majorHAnsi" w:eastAsiaTheme="majorEastAsia" w:hAnsiTheme="majorHAnsi" w:cstheme="majorBidi"/>
      <w:b/>
      <w:bCs/>
      <w:color w:val="7030A0"/>
      <w:sz w:val="40"/>
      <w:szCs w:val="40"/>
    </w:rPr>
  </w:style>
  <w:style w:type="paragraph" w:styleId="Heading2">
    <w:name w:val="heading 2"/>
    <w:basedOn w:val="Normal"/>
    <w:next w:val="Normal"/>
    <w:link w:val="Heading2Char"/>
    <w:uiPriority w:val="9"/>
    <w:semiHidden/>
    <w:unhideWhenUsed/>
    <w:qFormat/>
    <w:rsid w:val="00581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31F"/>
    <w:rPr>
      <w:rFonts w:asciiTheme="majorHAnsi" w:eastAsiaTheme="majorEastAsia" w:hAnsiTheme="majorHAnsi" w:cstheme="majorBidi"/>
      <w:b/>
      <w:bCs/>
      <w:color w:val="7030A0"/>
      <w:sz w:val="40"/>
      <w:szCs w:val="40"/>
    </w:rPr>
  </w:style>
  <w:style w:type="character" w:customStyle="1" w:styleId="Heading2Char">
    <w:name w:val="Heading 2 Char"/>
    <w:basedOn w:val="DefaultParagraphFont"/>
    <w:link w:val="Heading2"/>
    <w:uiPriority w:val="9"/>
    <w:semiHidden/>
    <w:rsid w:val="00581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31F"/>
    <w:rPr>
      <w:rFonts w:eastAsiaTheme="majorEastAsia" w:cstheme="majorBidi"/>
      <w:color w:val="272727" w:themeColor="text1" w:themeTint="D8"/>
    </w:rPr>
  </w:style>
  <w:style w:type="paragraph" w:styleId="Title">
    <w:name w:val="Title"/>
    <w:basedOn w:val="Normal"/>
    <w:next w:val="Normal"/>
    <w:link w:val="TitleChar"/>
    <w:uiPriority w:val="10"/>
    <w:qFormat/>
    <w:rsid w:val="00581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31F"/>
    <w:pPr>
      <w:spacing w:before="160"/>
      <w:jc w:val="center"/>
    </w:pPr>
    <w:rPr>
      <w:i/>
      <w:iCs/>
      <w:color w:val="404040" w:themeColor="text1" w:themeTint="BF"/>
    </w:rPr>
  </w:style>
  <w:style w:type="character" w:customStyle="1" w:styleId="QuoteChar">
    <w:name w:val="Quote Char"/>
    <w:basedOn w:val="DefaultParagraphFont"/>
    <w:link w:val="Quote"/>
    <w:uiPriority w:val="29"/>
    <w:rsid w:val="0058131F"/>
    <w:rPr>
      <w:i/>
      <w:iCs/>
      <w:color w:val="404040" w:themeColor="text1" w:themeTint="BF"/>
    </w:rPr>
  </w:style>
  <w:style w:type="paragraph" w:styleId="ListParagraph">
    <w:name w:val="List Paragraph"/>
    <w:basedOn w:val="Normal"/>
    <w:uiPriority w:val="34"/>
    <w:qFormat/>
    <w:rsid w:val="0058131F"/>
    <w:pPr>
      <w:ind w:left="720"/>
      <w:contextualSpacing/>
    </w:pPr>
  </w:style>
  <w:style w:type="character" w:styleId="IntenseEmphasis">
    <w:name w:val="Intense Emphasis"/>
    <w:basedOn w:val="DefaultParagraphFont"/>
    <w:uiPriority w:val="21"/>
    <w:qFormat/>
    <w:rsid w:val="0058131F"/>
    <w:rPr>
      <w:i/>
      <w:iCs/>
      <w:color w:val="0F4761" w:themeColor="accent1" w:themeShade="BF"/>
    </w:rPr>
  </w:style>
  <w:style w:type="paragraph" w:styleId="IntenseQuote">
    <w:name w:val="Intense Quote"/>
    <w:basedOn w:val="Normal"/>
    <w:next w:val="Normal"/>
    <w:link w:val="IntenseQuoteChar"/>
    <w:uiPriority w:val="30"/>
    <w:qFormat/>
    <w:rsid w:val="00581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31F"/>
    <w:rPr>
      <w:i/>
      <w:iCs/>
      <w:color w:val="0F4761" w:themeColor="accent1" w:themeShade="BF"/>
    </w:rPr>
  </w:style>
  <w:style w:type="character" w:styleId="IntenseReference">
    <w:name w:val="Intense Reference"/>
    <w:basedOn w:val="DefaultParagraphFont"/>
    <w:uiPriority w:val="32"/>
    <w:qFormat/>
    <w:rsid w:val="0058131F"/>
    <w:rPr>
      <w:b/>
      <w:bCs/>
      <w:smallCaps/>
      <w:color w:val="0F4761" w:themeColor="accent1" w:themeShade="BF"/>
      <w:spacing w:val="5"/>
    </w:rPr>
  </w:style>
  <w:style w:type="character" w:styleId="Hyperlink">
    <w:name w:val="Hyperlink"/>
    <w:basedOn w:val="DefaultParagraphFont"/>
    <w:uiPriority w:val="99"/>
    <w:unhideWhenUsed/>
    <w:rsid w:val="0058131F"/>
    <w:rPr>
      <w:color w:val="467886" w:themeColor="hyperlink"/>
      <w:u w:val="single"/>
    </w:rPr>
  </w:style>
  <w:style w:type="character" w:styleId="UnresolvedMention">
    <w:name w:val="Unresolved Mention"/>
    <w:basedOn w:val="DefaultParagraphFont"/>
    <w:uiPriority w:val="99"/>
    <w:semiHidden/>
    <w:unhideWhenUsed/>
    <w:rsid w:val="0058131F"/>
    <w:rPr>
      <w:color w:val="605E5C"/>
      <w:shd w:val="clear" w:color="auto" w:fill="E1DFDD"/>
    </w:rPr>
  </w:style>
  <w:style w:type="table" w:styleId="TableGrid">
    <w:name w:val="Table Grid"/>
    <w:basedOn w:val="TableNormal"/>
    <w:uiPriority w:val="39"/>
    <w:rsid w:val="00874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663"/>
  </w:style>
  <w:style w:type="paragraph" w:styleId="Footer">
    <w:name w:val="footer"/>
    <w:basedOn w:val="Normal"/>
    <w:link w:val="FooterChar"/>
    <w:uiPriority w:val="99"/>
    <w:unhideWhenUsed/>
    <w:rsid w:val="003C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rocketman.tom@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352939-3654-4A2E-AB4E-79A81FC4465C}">
  <we:reference id="wa200005313" version="1.2.0.2" store="en-US" storeType="OMEX"/>
  <we:alternateReferences>
    <we:reference id="wa200005313" version="1.2.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342</TotalTime>
  <Pages>9</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Arizona Global Campus</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McNamee, Tom</dc:creator>
  <cp:keywords/>
  <dc:description/>
  <cp:lastModifiedBy>McNamee, Tom</cp:lastModifiedBy>
  <cp:revision>2</cp:revision>
  <dcterms:created xsi:type="dcterms:W3CDTF">2024-06-19T16:37:00Z</dcterms:created>
  <dcterms:modified xsi:type="dcterms:W3CDTF">2024-06-19T22:19:00Z</dcterms:modified>
</cp:coreProperties>
</file>