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{NATIONALITY}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  <w:r>
        <w:rPr>
          <w:rtl w:val="0"/>
          <w:lang w:val="en-US"/>
        </w:rPr>
        <w:t>sUMMARY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{SUMMARY}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 SKILLS/ TECHNICAL SKILLS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  <w:rPr>
          <w:caps w:val="0"/>
          <w:smallCaps w:val="0"/>
          <w:lang w:val="en-US"/>
        </w:rPr>
      </w:pPr>
      <w:r>
        <w:rPr>
          <w:caps w:val="0"/>
          <w:smallCaps w:val="0"/>
          <w:rtl w:val="0"/>
          <w:lang w:val="en-US"/>
        </w:rPr>
        <w:t>EDUCATION</w:t>
      </w:r>
    </w:p>
    <w:p>
      <w:pPr>
        <w:pStyle w:val="Body"/>
        <w:rPr>
          <w:caps w:val="0"/>
          <w:smallCaps w:val="0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{EDUCATION}</w:t>
            </w:r>
          </w:p>
        </w:tc>
      </w:tr>
    </w:tbl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5069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