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84348"/>
          <w:sz w:val="68"/>
        </w:rPr>
        <w:t>HARAMBEEONE</w:t>
      </w:r>
    </w:p>
    <w:p>
      <w:pPr>
        <w:jc w:val="center"/>
      </w:pPr>
      <w:r>
        <w:rPr>
          <w:b/>
          <w:sz w:val="36"/>
        </w:rPr>
        <w:t>Product &amp; Stellar Education Funding Documentation</w:t>
      </w:r>
    </w:p>
    <w:p>
      <w:pPr>
        <w:spacing w:before="360"/>
        <w:jc w:val="center"/>
      </w:pPr>
      <w:r>
        <w:rPr>
          <w:sz w:val="24"/>
        </w:rPr>
        <w:t>One financial record for every learner.</w:t>
        <w:br/>
        <w:t>A simple way for families and sponsors to fund education.</w:t>
        <w:br/>
        <w:t>Programmable funding underneath when Stellar adds real value.</w:t>
      </w:r>
    </w:p>
    <w:tbl>
      <w:tblPr>
        <w:tblW w:type="auto" w:w="0"/>
        <w:jc w:val="center"/>
        <w:tblLook w:firstColumn="1" w:firstRow="1" w:lastColumn="0" w:lastRow="0" w:noHBand="0" w:noVBand="1" w:val="04A0"/>
      </w:tblPr>
      <w:tblGrid>
        <w:gridCol w:w="9936"/>
      </w:tblGrid>
      <w:tr>
        <w:tc>
          <w:tcPr>
            <w:tcW w:type="dxa" w:w="9936"/>
            <w:shd w:fill="DDEBEC"/>
            <w:tcMar>
              <w:top w:w="140" w:type="dxa"/>
              <w:start w:w="180" w:type="dxa"/>
              <w:bottom w:w="140" w:type="dxa"/>
              <w:end w:w="180" w:type="dxa"/>
            </w:tcMar>
          </w:tcPr>
          <w:p>
            <w:r>
              <w:rPr>
                <w:b/>
                <w:color w:val="184348"/>
                <w:sz w:val="22"/>
              </w:rPr>
              <w:t>Core principle</w:t>
              <w:br/>
            </w:r>
            <w:r>
              <w:rPr>
                <w:sz w:val="21"/>
              </w:rPr>
              <w:t>HarambeeOne must feel like normal school software to the people using it. Parents can pay with familiar methods. Schools can receive Uganda shillings. Stellar operates underneath sponsored programmes where programmable rules, shared verification and cross-border settlement are useful.</w:t>
            </w:r>
          </w:p>
        </w:tc>
      </w:tr>
    </w:tbl>
    <w:p>
      <w:pPr>
        <w:spacing w:after="20"/>
      </w:pPr>
    </w:p>
    <w:p>
      <w:pPr>
        <w:spacing w:before="800"/>
        <w:jc w:val="center"/>
      </w:pPr>
      <w:r>
        <w:rPr>
          <w:i/>
          <w:color w:val="5A5A5A"/>
          <w:sz w:val="19"/>
        </w:rPr>
        <w:t>Working product documentation • Uganda-first • August 2026</w:t>
      </w:r>
    </w:p>
    <w:p>
      <w:r>
        <w:br w:type="page"/>
      </w:r>
    </w:p>
    <w:p>
      <w:pPr>
        <w:pStyle w:val="Heading1"/>
      </w:pPr>
      <w:r>
        <w:t>1. Executive Summary</w:t>
      </w:r>
    </w:p>
    <w:p>
      <w:pPr>
        <w:spacing w:before="40" w:after="160"/>
        <w:pBdr>
          <w:bottom w:val="single" w:sz="8" w:space="1" w:color="2F6B70"/>
        </w:pBdr>
      </w:pPr>
    </w:p>
    <w:p>
      <w:r>
        <w:t>HarambeeOne is a school finance and education-funding platform designed to bring student registration, school fees, payments, bursaries and sponsorship into one clear record. The school can continue receiving money through channels people already trust—SchoolPay, bank, Mobile Money or cash—while HarambeeOne keeps the learner’s financial position up to date.</w:t>
      </w:r>
    </w:p>
    <w:p>
      <w:r>
        <w:t>The system becomes more powerful when an NGO, company, foundation, diaspora group or individual wants to fund learners over time or across several schools. For these structured programmes, HarambeeOne can use Stellar as the programmable funding layer: USDC can be held or moved on Stellar, Soroban contracts enforce programme rules, the Stellar Disbursement Platform can support approved bulk disbursements, and compliant on/off-ramp partners connect fiat money to and from Stellar.</w:t>
      </w:r>
    </w:p>
    <w:tbl>
      <w:tblPr>
        <w:tblW w:type="auto" w:w="0"/>
        <w:jc w:val="center"/>
        <w:tblLook w:firstColumn="1" w:firstRow="1" w:lastColumn="0" w:lastRow="0" w:noHBand="0" w:noVBand="1" w:val="04A0"/>
      </w:tblPr>
      <w:tblGrid>
        <w:gridCol w:w="9936"/>
      </w:tblGrid>
      <w:tr>
        <w:tc>
          <w:tcPr>
            <w:tcW w:type="dxa" w:w="9936"/>
            <w:shd w:fill="EAF3F3"/>
            <w:tcMar>
              <w:top w:w="140" w:type="dxa"/>
              <w:start w:w="180" w:type="dxa"/>
              <w:bottom w:w="140" w:type="dxa"/>
              <w:end w:w="180" w:type="dxa"/>
            </w:tcMar>
          </w:tcPr>
          <w:p>
            <w:r>
              <w:rPr>
                <w:b/>
                <w:color w:val="184348"/>
                <w:sz w:val="22"/>
              </w:rPr>
              <w:t>What HarambeeOne is not</w:t>
              <w:br/>
            </w:r>
            <w:r>
              <w:rPr>
                <w:sz w:val="21"/>
              </w:rPr>
              <w:t>It is not a crypto wallet for schools. It is not a blockchain database for student records. It is not a replacement for every school system. It is a practical school-finance platform with an open, programmable education-funding layer where blockchain is actually useful.</w:t>
            </w:r>
          </w:p>
        </w:tc>
      </w:tr>
    </w:tbl>
    <w:p>
      <w:pPr>
        <w:spacing w:after="20"/>
      </w:pPr>
    </w:p>
    <w:p>
      <w:pPr>
        <w:pStyle w:val="Heading1"/>
      </w:pPr>
      <w:r>
        <w:t>2. The Problem</w:t>
      </w:r>
    </w:p>
    <w:p>
      <w:pPr>
        <w:spacing w:before="40" w:after="160"/>
        <w:pBdr>
          <w:bottom w:val="single" w:sz="8" w:space="1" w:color="2F6B70"/>
        </w:pBdr>
      </w:pPr>
    </w:p>
    <w:p>
      <w:r>
        <w:t>A learner’s education can be paid for by several people and through several channels. A parent may use SchoolPay, another relative may use a bank, the school may grant a bursary, and an NGO may cover part of the fees. The bursar still needs one simple answer: how much has this learner been charged, how much has been received, where did it come from, and what remains?</w:t>
      </w:r>
    </w:p>
    <w:p>
      <w:r>
        <w:t>Sponsors face a different problem. Funding many learners across several schools creates work around beneficiary verification, payment timing, eligibility changes, reporting, unused funds and proof that the right institution received the right amount.</w:t>
      </w:r>
    </w:p>
    <w:tbl>
      <w:tblPr>
        <w:tblW w:type="auto" w:w="0"/>
        <w:jc w:val="center"/>
        <w:tblLook w:firstColumn="1" w:firstRow="1" w:lastColumn="0" w:lastRow="0" w:noHBand="0" w:noVBand="1" w:val="04A0"/>
      </w:tblPr>
      <w:tblGrid>
        <w:gridCol w:w="9936"/>
      </w:tblGrid>
      <w:tr>
        <w:tc>
          <w:tcPr>
            <w:tcW w:type="dxa" w:w="9936"/>
            <w:shd w:fill="EAF3F3"/>
            <w:tcMar>
              <w:top w:w="140" w:type="dxa"/>
              <w:start w:w="180" w:type="dxa"/>
              <w:bottom w:w="140" w:type="dxa"/>
              <w:end w:w="180" w:type="dxa"/>
            </w:tcMar>
          </w:tcPr>
          <w:p>
            <w:r>
              <w:rPr>
                <w:b/>
                <w:color w:val="184348"/>
                <w:sz w:val="22"/>
              </w:rPr>
              <w:t>HarambeeOne’s answer</w:t>
              <w:br/>
            </w:r>
            <w:r>
              <w:rPr>
                <w:sz w:val="21"/>
              </w:rPr>
              <w:t>Give every learner one reliable financial ledger, then add a structured funding layer that lets sponsors define and enforce how education money should be released.</w:t>
            </w:r>
          </w:p>
        </w:tc>
      </w:tr>
    </w:tbl>
    <w:p>
      <w:pPr>
        <w:spacing w:after="20"/>
      </w:pPr>
    </w:p>
    <w:p>
      <w:pPr>
        <w:pStyle w:val="Heading1"/>
      </w:pPr>
      <w:r>
        <w:t>3. Product Structure</w:t>
      </w:r>
    </w:p>
    <w:p>
      <w:pPr>
        <w:spacing w:before="40" w:after="160"/>
        <w:pBdr>
          <w:bottom w:val="single" w:sz="8" w:space="1" w:color="2F6B70"/>
        </w:pBdr>
      </w:pP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F6B70"/>
          </w:tcPr>
          <w:p>
            <w:r>
              <w:rPr>
                <w:b/>
                <w:color w:val="FFFFFF"/>
              </w:rPr>
              <w:t>HarambeeOne School</w:t>
            </w:r>
          </w:p>
        </w:tc>
        <w:tc>
          <w:tcPr>
            <w:tcW w:type="dxa" w:w="3312"/>
            <w:shd w:fill="2F6B70"/>
          </w:tcPr>
          <w:p>
            <w:r>
              <w:rPr>
                <w:b/>
                <w:color w:val="FFFFFF"/>
              </w:rPr>
              <w:t>HarambeeOne Fund</w:t>
            </w:r>
          </w:p>
        </w:tc>
        <w:tc>
          <w:tcPr>
            <w:tcW w:type="dxa" w:w="3312"/>
            <w:shd w:fill="2F6B70"/>
          </w:tcPr>
          <w:p>
            <w:r>
              <w:rPr>
                <w:b/>
                <w:color w:val="FFFFFF"/>
              </w:rPr>
              <w:t>HarambeeOne Protocol</w:t>
            </w:r>
          </w:p>
        </w:tc>
      </w:tr>
      <w:tr>
        <w:tc>
          <w:tcPr>
            <w:tcW w:type="dxa" w:w="3312"/>
            <w:tcMar>
              <w:top w:w="100" w:type="dxa"/>
              <w:start w:w="120" w:type="dxa"/>
              <w:bottom w:w="100" w:type="dxa"/>
              <w:end w:w="120" w:type="dxa"/>
            </w:tcMar>
          </w:tcPr>
          <w:p>
            <w:r>
              <w:t>Student registration, enrollment, fees, ledgers, payments, reconciliation, bursaries, reports and financial approvals.</w:t>
            </w:r>
          </w:p>
        </w:tc>
        <w:tc>
          <w:tcPr>
            <w:tcW w:type="dxa" w:w="3312"/>
            <w:tcMar>
              <w:top w:w="100" w:type="dxa"/>
              <w:start w:w="120" w:type="dxa"/>
              <w:bottom w:w="100" w:type="dxa"/>
              <w:end w:w="120" w:type="dxa"/>
            </w:tcMar>
          </w:tcPr>
          <w:p>
            <w:r>
              <w:t>Sponsor and NGO programmes, beneficiary selection, allocations, school verification, programme reporting and settlement tracking.</w:t>
            </w:r>
          </w:p>
        </w:tc>
        <w:tc>
          <w:tcPr>
            <w:tcW w:type="dxa" w:w="3312"/>
            <w:tcMar>
              <w:top w:w="100" w:type="dxa"/>
              <w:start w:w="120" w:type="dxa"/>
              <w:bottom w:w="100" w:type="dxa"/>
              <w:end w:w="120" w:type="dxa"/>
            </w:tcMar>
          </w:tcPr>
          <w:p>
            <w:r>
              <w:t>Open-source Soroban contracts and SDKs that make education funding programmable and reusable by other Stellar applications.</w:t>
            </w:r>
          </w:p>
        </w:tc>
      </w:tr>
    </w:tbl>
    <w:p/>
    <w:p>
      <w:pPr>
        <w:pStyle w:val="Heading1"/>
      </w:pPr>
      <w:r>
        <w:t>4. The Student Financial Record</w:t>
      </w:r>
    </w:p>
    <w:p>
      <w:pPr>
        <w:spacing w:before="40" w:after="160"/>
        <w:pBdr>
          <w:bottom w:val="single" w:sz="8" w:space="1" w:color="2F6B70"/>
        </w:pBdr>
      </w:pPr>
    </w:p>
    <w:p>
      <w:r>
        <w:t>The financial ledger is the heart of HarambeeOne. The system should not merely store a changing balance. It should preserve the transactions that explain the balance.</w:t>
      </w:r>
    </w:p>
    <w:tbl>
      <w:tblPr>
        <w:tblStyle w:val="TableGrid"/>
        <w:tblW w:type="auto" w:w="0"/>
        <w:jc w:val="center"/>
        <w:tblLook w:firstColumn="1" w:firstRow="1" w:lastColumn="0" w:lastRow="0" w:noHBand="0" w:noVBand="1" w:val="04A0"/>
      </w:tblPr>
      <w:tblGrid>
        <w:gridCol w:w="4968"/>
        <w:gridCol w:w="4968"/>
      </w:tblGrid>
      <w:tr>
        <w:tc>
          <w:tcPr>
            <w:tcW w:type="dxa" w:w="4968"/>
            <w:shd w:fill="2F6B70"/>
          </w:tcPr>
          <w:p>
            <w:r>
              <w:rPr>
                <w:b/>
                <w:color w:val="FFFFFF"/>
              </w:rPr>
              <w:t>Entry</w:t>
            </w:r>
          </w:p>
        </w:tc>
        <w:tc>
          <w:tcPr>
            <w:tcW w:type="dxa" w:w="4968"/>
            <w:shd w:fill="2F6B70"/>
          </w:tcPr>
          <w:p>
            <w:r>
              <w:rPr>
                <w:b/>
                <w:color w:val="FFFFFF"/>
              </w:rPr>
              <w:t>Amount</w:t>
            </w:r>
          </w:p>
        </w:tc>
      </w:tr>
      <w:tr>
        <w:tc>
          <w:tcPr>
            <w:tcW w:type="dxa" w:w="4968"/>
          </w:tcPr>
          <w:p>
            <w:r>
              <w:t>Term fees charged</w:t>
            </w:r>
          </w:p>
        </w:tc>
        <w:tc>
          <w:tcPr>
            <w:tcW w:type="dxa" w:w="4968"/>
          </w:tcPr>
          <w:p>
            <w:r>
              <w:t>+ UGX 1,500,000</w:t>
            </w:r>
          </w:p>
        </w:tc>
      </w:tr>
      <w:tr>
        <w:tc>
          <w:tcPr>
            <w:tcW w:type="dxa" w:w="4968"/>
          </w:tcPr>
          <w:p>
            <w:r>
              <w:t>Parent – SchoolPay</w:t>
            </w:r>
          </w:p>
        </w:tc>
        <w:tc>
          <w:tcPr>
            <w:tcW w:type="dxa" w:w="4968"/>
          </w:tcPr>
          <w:p>
            <w:r>
              <w:t>- UGX 300,000</w:t>
            </w:r>
          </w:p>
        </w:tc>
      </w:tr>
      <w:tr>
        <w:tc>
          <w:tcPr>
            <w:tcW w:type="dxa" w:w="4968"/>
          </w:tcPr>
          <w:p>
            <w:r>
              <w:t>Parent – Bank</w:t>
            </w:r>
          </w:p>
        </w:tc>
        <w:tc>
          <w:tcPr>
            <w:tcW w:type="dxa" w:w="4968"/>
          </w:tcPr>
          <w:p>
            <w:r>
              <w:t>- UGX 200,000</w:t>
            </w:r>
          </w:p>
        </w:tc>
      </w:tr>
      <w:tr>
        <w:tc>
          <w:tcPr>
            <w:tcW w:type="dxa" w:w="4968"/>
          </w:tcPr>
          <w:p>
            <w:r>
              <w:t>School bursary</w:t>
            </w:r>
          </w:p>
        </w:tc>
        <w:tc>
          <w:tcPr>
            <w:tcW w:type="dxa" w:w="4968"/>
          </w:tcPr>
          <w:p>
            <w:r>
              <w:t>- UGX 150,000</w:t>
            </w:r>
          </w:p>
        </w:tc>
      </w:tr>
      <w:tr>
        <w:tc>
          <w:tcPr>
            <w:tcW w:type="dxa" w:w="4968"/>
          </w:tcPr>
          <w:p>
            <w:r>
              <w:t>NGO scholarship</w:t>
            </w:r>
          </w:p>
        </w:tc>
        <w:tc>
          <w:tcPr>
            <w:tcW w:type="dxa" w:w="4968"/>
          </w:tcPr>
          <w:p>
            <w:r>
              <w:t>- UGX 600,000</w:t>
            </w:r>
          </w:p>
        </w:tc>
      </w:tr>
      <w:tr>
        <w:tc>
          <w:tcPr>
            <w:tcW w:type="dxa" w:w="4968"/>
          </w:tcPr>
          <w:p>
            <w:r>
              <w:t>Uncle – Mobile Money</w:t>
            </w:r>
          </w:p>
        </w:tc>
        <w:tc>
          <w:tcPr>
            <w:tcW w:type="dxa" w:w="4968"/>
          </w:tcPr>
          <w:p>
            <w:r>
              <w:t>- UGX 100,000</w:t>
            </w:r>
          </w:p>
        </w:tc>
      </w:tr>
      <w:tr>
        <w:tc>
          <w:tcPr>
            <w:tcW w:type="dxa" w:w="4968"/>
          </w:tcPr>
          <w:p>
            <w:r>
              <w:t>Outstanding</w:t>
            </w:r>
          </w:p>
        </w:tc>
        <w:tc>
          <w:tcPr>
            <w:tcW w:type="dxa" w:w="4968"/>
          </w:tcPr>
          <w:p>
            <w:r>
              <w:t>UGX 150,000</w:t>
            </w:r>
          </w:p>
        </w:tc>
      </w:tr>
    </w:tbl>
    <w:p>
      <w:r>
        <w:t>Completed financial entries are not silently deleted. Corrections are made through traceable reversing or adjusting entries so that the audit history remains intact.</w:t>
      </w:r>
    </w:p>
    <w:p>
      <w:pPr>
        <w:pStyle w:val="Heading1"/>
      </w:pPr>
      <w:r>
        <w:t>5. How Schools Use HarambeeOne</w:t>
      </w:r>
    </w:p>
    <w:p>
      <w:pPr>
        <w:spacing w:before="40" w:after="160"/>
        <w:pBdr>
          <w:bottom w:val="single" w:sz="8" w:space="1" w:color="2F6B70"/>
        </w:pBdr>
      </w:pPr>
    </w:p>
    <w:p>
      <w:pPr>
        <w:pStyle w:val="ListBullet"/>
      </w:pPr>
      <w:r>
        <w:t>Register learners, guardians, classes, streams, academic years and enrollment status.</w:t>
      </w:r>
    </w:p>
    <w:p>
      <w:pPr>
        <w:pStyle w:val="ListBullet"/>
      </w:pPr>
      <w:r>
        <w:t>Create fee structures and charge learners for the correct term.</w:t>
      </w:r>
    </w:p>
    <w:p>
      <w:pPr>
        <w:pStyle w:val="ListBullet"/>
      </w:pPr>
      <w:r>
        <w:t>Receive or import payments from SchoolPay, banks, Mobile Money and cash.</w:t>
      </w:r>
    </w:p>
    <w:p>
      <w:pPr>
        <w:pStyle w:val="ListBullet"/>
      </w:pPr>
      <w:r>
        <w:t>Match payments to learners and investigate unmatched or duplicate transactions.</w:t>
      </w:r>
    </w:p>
    <w:p>
      <w:pPr>
        <w:pStyle w:val="ListBullet"/>
      </w:pPr>
      <w:r>
        <w:t>Record bursaries, waivers and approved adjustments without destroying the original history.</w:t>
      </w:r>
    </w:p>
    <w:p>
      <w:pPr>
        <w:pStyle w:val="ListBullet"/>
      </w:pPr>
      <w:r>
        <w:t>See balances, arrears, collections and financial reports.</w:t>
      </w:r>
    </w:p>
    <w:p>
      <w:pPr>
        <w:pStyle w:val="ListBullet"/>
      </w:pPr>
      <w:r>
        <w:t>Use approval rules for sensitive financial actions.</w:t>
      </w:r>
    </w:p>
    <w:tbl>
      <w:tblPr>
        <w:tblW w:type="auto" w:w="0"/>
        <w:jc w:val="center"/>
        <w:tblLook w:firstColumn="1" w:firstRow="1" w:lastColumn="0" w:lastRow="0" w:noHBand="0" w:noVBand="1" w:val="04A0"/>
      </w:tblPr>
      <w:tblGrid>
        <w:gridCol w:w="9936"/>
      </w:tblGrid>
      <w:tr>
        <w:tc>
          <w:tcPr>
            <w:tcW w:type="dxa" w:w="9936"/>
            <w:shd w:fill="EAF3F3"/>
            <w:tcMar>
              <w:top w:w="140" w:type="dxa"/>
              <w:start w:w="180" w:type="dxa"/>
              <w:bottom w:w="140" w:type="dxa"/>
              <w:end w:w="180" w:type="dxa"/>
            </w:tcMar>
          </w:tcPr>
          <w:p>
            <w:r>
              <w:rPr>
                <w:b/>
                <w:color w:val="184348"/>
                <w:sz w:val="22"/>
              </w:rPr>
              <w:t>Market position</w:t>
              <w:br/>
            </w:r>
            <w:r>
              <w:rPr>
                <w:sz w:val="21"/>
              </w:rPr>
              <w:t>HarambeeOne should integrate with payment channels schools already use rather than force them to abandon familiar rails. Its value is the unified learner ledger and the ability to connect ordinary school finance to structured sponsorship.</w:t>
            </w:r>
          </w:p>
        </w:tc>
      </w:tr>
    </w:tbl>
    <w:p>
      <w:pPr>
        <w:spacing w:after="20"/>
      </w:pPr>
    </w:p>
    <w:p>
      <w:pPr>
        <w:pStyle w:val="Heading1"/>
      </w:pPr>
      <w:r>
        <w:t>6. How Parents and Guardians Use HarambeeOne</w:t>
      </w:r>
    </w:p>
    <w:p>
      <w:pPr>
        <w:spacing w:before="40" w:after="160"/>
        <w:pBdr>
          <w:bottom w:val="single" w:sz="8" w:space="1" w:color="2F6B70"/>
        </w:pBdr>
      </w:pPr>
    </w:p>
    <w:p>
      <w:r>
        <w:t>Parents should never need blockchain knowledge. Their experience stays familiar.</w:t>
      </w:r>
    </w:p>
    <w:p>
      <w:pPr>
        <w:pStyle w:val="ListBullet"/>
      </w:pPr>
      <w:r>
        <w:t>Pay through the school’s accepted channels such as SchoolPay, bank, Mobile Money or cash.</w:t>
      </w:r>
    </w:p>
    <w:p>
      <w:pPr>
        <w:pStyle w:val="ListBullet"/>
      </w:pPr>
      <w:r>
        <w:t>Check a learner’s balance and recent payments through web/mobile, SMS or USSD where available.</w:t>
      </w:r>
    </w:p>
    <w:p>
      <w:pPr>
        <w:pStyle w:val="ListBullet"/>
      </w:pPr>
      <w:r>
        <w:t>Receive payment confirmations and fee reminders.</w:t>
      </w:r>
    </w:p>
    <w:p>
      <w:pPr>
        <w:pStyle w:val="ListBullet"/>
      </w:pPr>
      <w:r>
        <w:t>See when a verified sponsorship has been settled to the learner’s school account.</w:t>
      </w:r>
    </w:p>
    <w:p>
      <w:pPr>
        <w:pStyle w:val="ListBullet"/>
      </w:pPr>
      <w:r>
        <w:t>Use local-language assistance where supported.</w:t>
      </w:r>
    </w:p>
    <w:p>
      <w:pPr>
        <w:pStyle w:val="Heading1"/>
      </w:pPr>
      <w:r>
        <w:t>7. How Sponsors and NGOs Use HarambeeOne</w:t>
      </w:r>
    </w:p>
    <w:p>
      <w:pPr>
        <w:spacing w:before="40" w:after="160"/>
        <w:pBdr>
          <w:bottom w:val="single" w:sz="8" w:space="1" w:color="2F6B70"/>
        </w:pBdr>
      </w:pPr>
    </w:p>
    <w:p>
      <w:pPr>
        <w:pStyle w:val="ListNumber"/>
      </w:pPr>
      <w:r>
        <w:t>Create or join a verified organisation account.</w:t>
      </w:r>
    </w:p>
    <w:p>
      <w:pPr>
        <w:pStyle w:val="ListNumber"/>
      </w:pPr>
      <w:r>
        <w:t>Create a funding programme and define the schools, learners, period, amount and conditions.</w:t>
      </w:r>
    </w:p>
    <w:p>
      <w:pPr>
        <w:pStyle w:val="ListNumber"/>
      </w:pPr>
      <w:r>
        <w:t>Select or upload beneficiaries and resolve uncertain student matches with the school.</w:t>
      </w:r>
    </w:p>
    <w:p>
      <w:pPr>
        <w:pStyle w:val="ListNumber"/>
      </w:pPr>
      <w:r>
        <w:t>Choose a familiar funding channel. A sponsor may use fiat rails or USDC depending on the programme.</w:t>
      </w:r>
    </w:p>
    <w:p>
      <w:pPr>
        <w:pStyle w:val="ListNumber"/>
      </w:pPr>
      <w:r>
        <w:t>Track allocations, eligibility confirmations, disbursements, exceptions and unused funds from one dashboard.</w:t>
      </w:r>
    </w:p>
    <w:p>
      <w:pPr>
        <w:pStyle w:val="ListNumber"/>
      </w:pPr>
      <w:r>
        <w:t>Receive programme reports without needing access to unrelated private student data.</w:t>
      </w:r>
    </w:p>
    <w:tbl>
      <w:tblPr>
        <w:tblW w:type="auto" w:w="0"/>
        <w:jc w:val="center"/>
        <w:tblLook w:firstColumn="1" w:firstRow="1" w:lastColumn="0" w:lastRow="0" w:noHBand="0" w:noVBand="1" w:val="04A0"/>
      </w:tblPr>
      <w:tblGrid>
        <w:gridCol w:w="9936"/>
      </w:tblGrid>
      <w:tr>
        <w:tc>
          <w:tcPr>
            <w:tcW w:type="dxa" w:w="9936"/>
            <w:shd w:fill="EAF3F3"/>
            <w:tcMar>
              <w:top w:w="140" w:type="dxa"/>
              <w:start w:w="180" w:type="dxa"/>
              <w:bottom w:w="140" w:type="dxa"/>
              <w:end w:w="180" w:type="dxa"/>
            </w:tcMar>
          </w:tcPr>
          <w:p>
            <w:r>
              <w:rPr>
                <w:b/>
                <w:color w:val="184348"/>
                <w:sz w:val="22"/>
              </w:rPr>
              <w:t>Important</w:t>
              <w:br/>
            </w:r>
            <w:r>
              <w:rPr>
                <w:sz w:val="21"/>
              </w:rPr>
              <w:t>A sponsor can support a learner using familiar fiat channels. Stellar is not mandatory for every one-off local payment. It becomes the infrastructure for structured programmes where programmable control, cross-border funding or shared verification creates real value.</w:t>
            </w:r>
          </w:p>
        </w:tc>
      </w:tr>
    </w:tbl>
    <w:p>
      <w:pPr>
        <w:spacing w:after="20"/>
      </w:pPr>
    </w:p>
    <w:p>
      <w:pPr>
        <w:pStyle w:val="Heading1"/>
      </w:pPr>
      <w:r>
        <w:t>8. The Low-Friction Stellar Model</w:t>
      </w:r>
    </w:p>
    <w:p>
      <w:pPr>
        <w:spacing w:before="40" w:after="160"/>
        <w:pBdr>
          <w:bottom w:val="single" w:sz="8" w:space="1" w:color="2F6B70"/>
        </w:pBdr>
      </w:pPr>
    </w:p>
    <w:p>
      <w:r>
        <w:t>The strongest Stellar design is to make Stellar invisible to ordinary users while making it essential to the structured funding programme. A school can still receive UGX and an NGO can still start with fiat.</w:t>
      </w:r>
    </w:p>
    <w:tbl>
      <w:tblPr>
        <w:tblW w:type="auto" w:w="0"/>
        <w:jc w:val="center"/>
        <w:tblLayout w:type="fixed"/>
        <w:tblLook w:firstColumn="1" w:firstRow="1" w:lastColumn="0" w:lastRow="0" w:noHBand="0" w:noVBand="1" w:val="04A0"/>
      </w:tblPr>
      <w:tblGrid>
        <w:gridCol w:w="9936"/>
      </w:tblGrid>
      <w:tr>
        <w:tc>
          <w:tcPr>
            <w:tcW w:type="dxa" w:w="8352"/>
            <w:vAlign w:val="center"/>
            <w:shd w:fill="F3F7F7"/>
            <w:tcMar>
              <w:top w:w="90" w:type="dxa"/>
              <w:start w:w="160" w:type="dxa"/>
              <w:bottom w:w="90" w:type="dxa"/>
              <w:end w:w="160" w:type="dxa"/>
            </w:tcMar>
          </w:tcPr>
          <w:p>
            <w:pPr>
              <w:jc w:val="center"/>
            </w:pPr>
            <w:r>
              <w:rPr>
                <w:b/>
              </w:rPr>
              <w:t>Sponsor funds a programme using fiat or USDC</w:t>
            </w:r>
          </w:p>
          <w:p>
            <w:pPr>
              <w:jc w:val="center"/>
            </w:pPr>
            <w:r>
              <w:t>↓</w:t>
            </w:r>
          </w:p>
        </w:tc>
      </w:tr>
      <w:tr>
        <w:tc>
          <w:tcPr>
            <w:tcW w:type="dxa" w:w="8352"/>
            <w:vAlign w:val="center"/>
            <w:shd w:fill="FFFFFF"/>
            <w:tcMar>
              <w:top w:w="90" w:type="dxa"/>
              <w:start w:w="160" w:type="dxa"/>
              <w:bottom w:w="90" w:type="dxa"/>
              <w:end w:w="160" w:type="dxa"/>
            </w:tcMar>
          </w:tcPr>
          <w:p>
            <w:pPr>
              <w:jc w:val="center"/>
            </w:pPr>
            <w:r>
              <w:rPr>
                <w:b w:val="0"/>
              </w:rPr>
              <w:t>On-ramp partner converts fiat to USDC when Stellar settlement is required</w:t>
            </w:r>
          </w:p>
          <w:p>
            <w:pPr>
              <w:jc w:val="center"/>
            </w:pPr>
            <w:r>
              <w:t>↓</w:t>
            </w:r>
          </w:p>
        </w:tc>
      </w:tr>
      <w:tr>
        <w:tc>
          <w:tcPr>
            <w:tcW w:type="dxa" w:w="8352"/>
            <w:vAlign w:val="center"/>
            <w:shd w:fill="F3F7F7"/>
            <w:tcMar>
              <w:top w:w="90" w:type="dxa"/>
              <w:start w:w="160" w:type="dxa"/>
              <w:bottom w:w="90" w:type="dxa"/>
              <w:end w:w="160" w:type="dxa"/>
            </w:tcMar>
          </w:tcPr>
          <w:p>
            <w:pPr>
              <w:jc w:val="center"/>
            </w:pPr>
            <w:r>
              <w:rPr>
                <w:b w:val="0"/>
              </w:rPr>
              <w:t>USDC enters the programme’s Stellar funding structure</w:t>
            </w:r>
          </w:p>
          <w:p>
            <w:pPr>
              <w:jc w:val="center"/>
            </w:pPr>
            <w:r>
              <w:t>↓</w:t>
            </w:r>
          </w:p>
        </w:tc>
      </w:tr>
      <w:tr>
        <w:tc>
          <w:tcPr>
            <w:tcW w:type="dxa" w:w="8352"/>
            <w:vAlign w:val="center"/>
            <w:shd w:fill="FFFFFF"/>
            <w:tcMar>
              <w:top w:w="90" w:type="dxa"/>
              <w:start w:w="160" w:type="dxa"/>
              <w:bottom w:w="90" w:type="dxa"/>
              <w:end w:w="160" w:type="dxa"/>
            </w:tcMar>
          </w:tcPr>
          <w:p>
            <w:pPr>
              <w:jc w:val="center"/>
            </w:pPr>
            <w:r>
              <w:rPr>
                <w:b w:val="0"/>
              </w:rPr>
              <w:t>Soroban checks the programme’s funding rules and authorisations</w:t>
            </w:r>
          </w:p>
          <w:p>
            <w:pPr>
              <w:jc w:val="center"/>
            </w:pPr>
            <w:r>
              <w:t>↓</w:t>
            </w:r>
          </w:p>
        </w:tc>
      </w:tr>
      <w:tr>
        <w:tc>
          <w:tcPr>
            <w:tcW w:type="dxa" w:w="8352"/>
            <w:vAlign w:val="center"/>
            <w:shd w:fill="F3F7F7"/>
            <w:tcMar>
              <w:top w:w="90" w:type="dxa"/>
              <w:start w:w="160" w:type="dxa"/>
              <w:bottom w:w="90" w:type="dxa"/>
              <w:end w:w="160" w:type="dxa"/>
            </w:tcMar>
          </w:tcPr>
          <w:p>
            <w:pPr>
              <w:jc w:val="center"/>
            </w:pPr>
            <w:r>
              <w:rPr>
                <w:b w:val="0"/>
              </w:rPr>
              <w:t>Approved disbursement is executed over Stellar / SDP</w:t>
            </w:r>
          </w:p>
          <w:p>
            <w:pPr>
              <w:jc w:val="center"/>
            </w:pPr>
            <w:r>
              <w:t>↓</w:t>
            </w:r>
          </w:p>
        </w:tc>
      </w:tr>
      <w:tr>
        <w:tc>
          <w:tcPr>
            <w:tcW w:type="dxa" w:w="8352"/>
            <w:vAlign w:val="center"/>
            <w:shd w:fill="FFFFFF"/>
            <w:tcMar>
              <w:top w:w="90" w:type="dxa"/>
              <w:start w:w="160" w:type="dxa"/>
              <w:bottom w:w="90" w:type="dxa"/>
              <w:end w:w="160" w:type="dxa"/>
            </w:tcMar>
          </w:tcPr>
          <w:p>
            <w:pPr>
              <w:jc w:val="center"/>
            </w:pPr>
            <w:r>
              <w:rPr>
                <w:b w:val="0"/>
              </w:rPr>
              <w:t>Off-ramp partner converts USDC to UGX</w:t>
            </w:r>
          </w:p>
          <w:p>
            <w:pPr>
              <w:jc w:val="center"/>
            </w:pPr>
            <w:r>
              <w:t>↓</w:t>
            </w:r>
          </w:p>
        </w:tc>
      </w:tr>
      <w:tr>
        <w:tc>
          <w:tcPr>
            <w:tcW w:type="dxa" w:w="8352"/>
            <w:vAlign w:val="center"/>
            <w:shd w:fill="F3F7F7"/>
            <w:tcMar>
              <w:top w:w="90" w:type="dxa"/>
              <w:start w:w="160" w:type="dxa"/>
              <w:bottom w:w="90" w:type="dxa"/>
              <w:end w:w="160" w:type="dxa"/>
            </w:tcMar>
          </w:tcPr>
          <w:p>
            <w:pPr>
              <w:jc w:val="center"/>
            </w:pPr>
            <w:r>
              <w:rPr>
                <w:b/>
              </w:rPr>
              <w:t>School receives normal UGX and HarambeeOne reconciles the learner ledger</w:t>
            </w:r>
          </w:p>
        </w:tc>
      </w:tr>
    </w:tbl>
    <w:p/>
    <w:p>
      <w:pPr>
        <w:pStyle w:val="Heading1"/>
      </w:pPr>
      <w:r>
        <w:t>9. Why Soroban Is Needed</w:t>
      </w:r>
    </w:p>
    <w:p>
      <w:pPr>
        <w:spacing w:before="40" w:after="160"/>
        <w:pBdr>
          <w:bottom w:val="single" w:sz="8" w:space="1" w:color="2F6B70"/>
        </w:pBdr>
      </w:pPr>
    </w:p>
    <w:p>
      <w:r>
        <w:t>Soroban should not store student names, marks or private school records. Its job is to control the funding rules attached to on-chain programme money.</w:t>
      </w:r>
    </w:p>
    <w:p>
      <w:pPr>
        <w:pStyle w:val="ListBullet"/>
      </w:pPr>
      <w:r>
        <w:t>The programme exists and is active.</w:t>
      </w:r>
    </w:p>
    <w:p>
      <w:pPr>
        <w:pStyle w:val="ListBullet"/>
      </w:pPr>
      <w:r>
        <w:t>The institution is authorised for that programme.</w:t>
      </w:r>
    </w:p>
    <w:p>
      <w:pPr>
        <w:pStyle w:val="ListBullet"/>
      </w:pPr>
      <w:r>
        <w:t>The beneficiary has a valid allocation.</w:t>
      </w:r>
    </w:p>
    <w:p>
      <w:pPr>
        <w:pStyle w:val="ListBullet"/>
      </w:pPr>
      <w:r>
        <w:t>Required eligibility or enrollment confirmation has been received.</w:t>
      </w:r>
    </w:p>
    <w:p>
      <w:pPr>
        <w:pStyle w:val="ListBullet"/>
      </w:pPr>
      <w:r>
        <w:t>The same allocation has not already been paid.</w:t>
      </w:r>
    </w:p>
    <w:p>
      <w:pPr>
        <w:pStyle w:val="ListBullet"/>
      </w:pPr>
      <w:r>
        <w:t>Required sponsor or institutional approvals are complete.</w:t>
      </w:r>
    </w:p>
    <w:p>
      <w:pPr>
        <w:pStyle w:val="ListBullet"/>
      </w:pPr>
      <w:r>
        <w:t>Unused funds follow the programme’s agreed return or reassignment rules.</w:t>
      </w:r>
    </w:p>
    <w:tbl>
      <w:tblPr>
        <w:tblW w:type="auto" w:w="0"/>
        <w:jc w:val="center"/>
        <w:tblLook w:firstColumn="1" w:firstRow="1" w:lastColumn="0" w:lastRow="0" w:noHBand="0" w:noVBand="1" w:val="04A0"/>
      </w:tblPr>
      <w:tblGrid>
        <w:gridCol w:w="9936"/>
      </w:tblGrid>
      <w:tr>
        <w:tc>
          <w:tcPr>
            <w:tcW w:type="dxa" w:w="9936"/>
            <w:shd w:fill="EAF3F3"/>
            <w:tcMar>
              <w:top w:w="140" w:type="dxa"/>
              <w:start w:w="180" w:type="dxa"/>
              <w:bottom w:w="140" w:type="dxa"/>
              <w:end w:w="180" w:type="dxa"/>
            </w:tcMar>
          </w:tcPr>
          <w:p>
            <w:r>
              <w:rPr>
                <w:b/>
                <w:color w:val="184348"/>
                <w:sz w:val="22"/>
              </w:rPr>
              <w:t>Simple distinction</w:t>
              <w:br/>
            </w:r>
            <w:r>
              <w:rPr>
                <w:sz w:val="21"/>
              </w:rPr>
              <w:t>HarambeeOne knows who the learner is. Soroban knows whether the pseudonymous funding allocation is allowed to move.</w:t>
            </w:r>
          </w:p>
        </w:tc>
      </w:tr>
    </w:tbl>
    <w:p>
      <w:pPr>
        <w:spacing w:after="20"/>
      </w:pPr>
    </w:p>
    <w:p>
      <w:pPr>
        <w:pStyle w:val="Heading1"/>
      </w:pPr>
      <w:r>
        <w:t>10. The Education Funding Vault</w:t>
      </w:r>
    </w:p>
    <w:p>
      <w:pPr>
        <w:spacing w:before="40" w:after="160"/>
        <w:pBdr>
          <w:bottom w:val="single" w:sz="8" w:space="1" w:color="2F6B70"/>
        </w:pBdr>
      </w:pPr>
    </w:p>
    <w:p>
      <w:r>
        <w:t>A structured sponsor programme can create an Education Funding Vault: a programme treasury with rules attached to it. Instead of sending a full year’s scholarship immediately, the sponsor can define term-based entitlements.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F6B70"/>
          </w:tcPr>
          <w:p>
            <w:r>
              <w:rPr>
                <w:b/>
                <w:color w:val="FFFFFF"/>
              </w:rPr>
              <w:t>Term</w:t>
            </w:r>
          </w:p>
        </w:tc>
        <w:tc>
          <w:tcPr>
            <w:tcW w:type="dxa" w:w="3312"/>
            <w:shd w:fill="2F6B70"/>
          </w:tcPr>
          <w:p>
            <w:r>
              <w:rPr>
                <w:b/>
                <w:color w:val="FFFFFF"/>
              </w:rPr>
              <w:t>Entitlement</w:t>
            </w:r>
          </w:p>
        </w:tc>
        <w:tc>
          <w:tcPr>
            <w:tcW w:type="dxa" w:w="3312"/>
            <w:shd w:fill="2F6B70"/>
          </w:tcPr>
          <w:p>
            <w:r>
              <w:rPr>
                <w:b/>
                <w:color w:val="FFFFFF"/>
              </w:rPr>
              <w:t>Release condition</w:t>
            </w:r>
          </w:p>
        </w:tc>
      </w:tr>
      <w:tr>
        <w:tc>
          <w:tcPr>
            <w:tcW w:type="dxa" w:w="3312"/>
          </w:tcPr>
          <w:p>
            <w:r>
              <w:t>Term I</w:t>
            </w:r>
          </w:p>
        </w:tc>
        <w:tc>
          <w:tcPr>
            <w:tcW w:type="dxa" w:w="3312"/>
          </w:tcPr>
          <w:p>
            <w:r>
              <w:t>UGX 600,000 equivalent</w:t>
            </w:r>
          </w:p>
        </w:tc>
        <w:tc>
          <w:tcPr>
            <w:tcW w:type="dxa" w:w="3312"/>
          </w:tcPr>
          <w:p>
            <w:r>
              <w:t>Approved learner + approved school + active term</w:t>
            </w:r>
          </w:p>
        </w:tc>
      </w:tr>
      <w:tr>
        <w:tc>
          <w:tcPr>
            <w:tcW w:type="dxa" w:w="3312"/>
          </w:tcPr>
          <w:p>
            <w:r>
              <w:t>Term II</w:t>
            </w:r>
          </w:p>
        </w:tc>
        <w:tc>
          <w:tcPr>
            <w:tcW w:type="dxa" w:w="3312"/>
          </w:tcPr>
          <w:p>
            <w:r>
              <w:t>UGX 600,000 equivalent</w:t>
            </w:r>
          </w:p>
        </w:tc>
        <w:tc>
          <w:tcPr>
            <w:tcW w:type="dxa" w:w="3312"/>
          </w:tcPr>
          <w:p>
            <w:r>
              <w:t>Enrollment reconfirmed + not already paid</w:t>
            </w:r>
          </w:p>
        </w:tc>
      </w:tr>
      <w:tr>
        <w:tc>
          <w:tcPr>
            <w:tcW w:type="dxa" w:w="3312"/>
          </w:tcPr>
          <w:p>
            <w:r>
              <w:t>Term III</w:t>
            </w:r>
          </w:p>
        </w:tc>
        <w:tc>
          <w:tcPr>
            <w:tcW w:type="dxa" w:w="3312"/>
          </w:tcPr>
          <w:p>
            <w:r>
              <w:t>UGX 600,000 equivalent</w:t>
            </w:r>
          </w:p>
        </w:tc>
        <w:tc>
          <w:tcPr>
            <w:tcW w:type="dxa" w:w="3312"/>
          </w:tcPr>
          <w:p>
            <w:r>
              <w:t>Enrollment reconfirmed + programme active</w:t>
            </w:r>
          </w:p>
        </w:tc>
      </w:tr>
    </w:tbl>
    <w:p>
      <w:r>
        <w:t>If the learner transfers, withdraws or becomes ineligible before a future term, unreleased value remains protected. The programme can define whether it follows the learner to another approved school, returns to the programme pool or is reassigned.</w:t>
      </w:r>
    </w:p>
    <w:p>
      <w:pPr>
        <w:pStyle w:val="Heading1"/>
      </w:pPr>
      <w:r>
        <w:t>11. On-Ramp and Off-Ramp</w:t>
      </w:r>
    </w:p>
    <w:p>
      <w:pPr>
        <w:spacing w:before="40" w:after="160"/>
        <w:pBdr>
          <w:bottom w:val="single" w:sz="8" w:space="1" w:color="2F6B70"/>
        </w:pBdr>
      </w:pPr>
    </w:p>
    <w:p>
      <w:r>
        <w:t>HarambeeOne should not initially act as a currency exchange or money transmitter. It should use appropriate regulated or compliant financial partners for fiat conversion and settlement.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F6B70"/>
          </w:tcPr>
          <w:p>
            <w:r>
              <w:rPr>
                <w:b/>
                <w:color w:val="FFFFFF"/>
              </w:rPr>
              <w:t>Component</w:t>
            </w:r>
          </w:p>
        </w:tc>
        <w:tc>
          <w:tcPr>
            <w:tcW w:type="dxa" w:w="3312"/>
            <w:shd w:fill="2F6B70"/>
          </w:tcPr>
          <w:p>
            <w:r>
              <w:rPr>
                <w:b/>
                <w:color w:val="FFFFFF"/>
              </w:rPr>
              <w:t>Responsibility</w:t>
            </w:r>
          </w:p>
        </w:tc>
        <w:tc>
          <w:tcPr>
            <w:tcW w:type="dxa" w:w="3312"/>
            <w:shd w:fill="2F6B70"/>
          </w:tcPr>
          <w:p>
            <w:r>
              <w:rPr>
                <w:b/>
                <w:color w:val="FFFFFF"/>
              </w:rPr>
              <w:t>What the user sees</w:t>
            </w:r>
          </w:p>
        </w:tc>
      </w:tr>
      <w:tr>
        <w:tc>
          <w:tcPr>
            <w:tcW w:type="dxa" w:w="3312"/>
          </w:tcPr>
          <w:p>
            <w:r>
              <w:t>On-ramp partner</w:t>
            </w:r>
          </w:p>
        </w:tc>
        <w:tc>
          <w:tcPr>
            <w:tcW w:type="dxa" w:w="3312"/>
          </w:tcPr>
          <w:p>
            <w:r>
              <w:t>Fiat → USDC</w:t>
            </w:r>
          </w:p>
        </w:tc>
        <w:tc>
          <w:tcPr>
            <w:tcW w:type="dxa" w:w="3312"/>
          </w:tcPr>
          <w:p>
            <w:r>
              <w:t>Sponsor funds programme using a familiar method</w:t>
            </w:r>
          </w:p>
        </w:tc>
      </w:tr>
      <w:tr>
        <w:tc>
          <w:tcPr>
            <w:tcW w:type="dxa" w:w="3312"/>
          </w:tcPr>
          <w:p>
            <w:r>
              <w:t>Stellar / Soroban</w:t>
            </w:r>
          </w:p>
        </w:tc>
        <w:tc>
          <w:tcPr>
            <w:tcW w:type="dxa" w:w="3312"/>
          </w:tcPr>
          <w:p>
            <w:r>
              <w:t>Programmable asset movement and rules</w:t>
            </w:r>
          </w:p>
        </w:tc>
        <w:tc>
          <w:tcPr>
            <w:tcW w:type="dxa" w:w="3312"/>
          </w:tcPr>
          <w:p>
            <w:r>
              <w:t>Usually invisible</w:t>
            </w:r>
          </w:p>
        </w:tc>
      </w:tr>
      <w:tr>
        <w:tc>
          <w:tcPr>
            <w:tcW w:type="dxa" w:w="3312"/>
          </w:tcPr>
          <w:p>
            <w:r>
              <w:t>SDP</w:t>
            </w:r>
          </w:p>
        </w:tc>
        <w:tc>
          <w:tcPr>
            <w:tcW w:type="dxa" w:w="3312"/>
          </w:tcPr>
          <w:p>
            <w:r>
              <w:t>Bulk Stellar disbursement orchestration</w:t>
            </w:r>
          </w:p>
        </w:tc>
        <w:tc>
          <w:tcPr>
            <w:tcW w:type="dxa" w:w="3312"/>
          </w:tcPr>
          <w:p>
            <w:r>
              <w:t>Programme payment status</w:t>
            </w:r>
          </w:p>
        </w:tc>
      </w:tr>
      <w:tr>
        <w:tc>
          <w:tcPr>
            <w:tcW w:type="dxa" w:w="3312"/>
          </w:tcPr>
          <w:p>
            <w:r>
              <w:t>Off-ramp partner</w:t>
            </w:r>
          </w:p>
        </w:tc>
        <w:tc>
          <w:tcPr>
            <w:tcW w:type="dxa" w:w="3312"/>
          </w:tcPr>
          <w:p>
            <w:r>
              <w:t>USDC → UGX</w:t>
            </w:r>
          </w:p>
        </w:tc>
        <w:tc>
          <w:tcPr>
            <w:tcW w:type="dxa" w:w="3312"/>
          </w:tcPr>
          <w:p>
            <w:r>
              <w:t>School receives normal local money</w:t>
            </w:r>
          </w:p>
        </w:tc>
      </w:tr>
      <w:tr>
        <w:tc>
          <w:tcPr>
            <w:tcW w:type="dxa" w:w="3312"/>
          </w:tcPr>
          <w:p>
            <w:r>
              <w:t>HarambeeOne Settlement Gateway</w:t>
            </w:r>
          </w:p>
        </w:tc>
        <w:tc>
          <w:tcPr>
            <w:tcW w:type="dxa" w:w="3312"/>
          </w:tcPr>
          <w:p>
            <w:r>
              <w:t>Quotes, provider status, references, reconciliation and exceptions</w:t>
            </w:r>
          </w:p>
        </w:tc>
        <w:tc>
          <w:tcPr>
            <w:tcW w:type="dxa" w:w="3312"/>
          </w:tcPr>
          <w:p>
            <w:r>
              <w:t>One coherent funding experience</w:t>
            </w:r>
          </w:p>
        </w:tc>
      </w:tr>
    </w:tbl>
    <w:p>
      <w:pPr>
        <w:pStyle w:val="Heading1"/>
      </w:pPr>
      <w:r>
        <w:t>12. Settlement Must Be Treated Carefully</w:t>
      </w:r>
    </w:p>
    <w:p>
      <w:pPr>
        <w:spacing w:before="40" w:after="160"/>
        <w:pBdr>
          <w:bottom w:val="single" w:sz="8" w:space="1" w:color="2F6B70"/>
        </w:pBdr>
      </w:pPr>
    </w:p>
    <w:p>
      <w:r>
        <w:t>A learner’s UGX balance should only be reduced when the school has actually received or confirmed the fiat settlement. A Stellar transaction alone is not enough.</w:t>
      </w:r>
    </w:p>
    <w:tbl>
      <w:tblPr>
        <w:tblW w:type="auto" w:w="0"/>
        <w:jc w:val="center"/>
        <w:tblLayout w:type="fixed"/>
        <w:tblLook w:firstColumn="1" w:firstRow="1" w:lastColumn="0" w:lastRow="0" w:noHBand="0" w:noVBand="1" w:val="04A0"/>
      </w:tblPr>
      <w:tblGrid>
        <w:gridCol w:w="9936"/>
      </w:tblGrid>
      <w:tr>
        <w:tc>
          <w:tcPr>
            <w:tcW w:type="dxa" w:w="8352"/>
            <w:vAlign w:val="center"/>
            <w:shd w:fill="F3F7F7"/>
            <w:tcMar>
              <w:top w:w="90" w:type="dxa"/>
              <w:start w:w="160" w:type="dxa"/>
              <w:bottom w:w="90" w:type="dxa"/>
              <w:end w:w="160" w:type="dxa"/>
            </w:tcMar>
          </w:tcPr>
          <w:p>
            <w:pPr>
              <w:jc w:val="center"/>
            </w:pPr>
            <w:r>
              <w:rPr>
                <w:b/>
              </w:rPr>
              <w:t>ALLOCATED</w:t>
            </w:r>
          </w:p>
          <w:p>
            <w:pPr>
              <w:jc w:val="center"/>
            </w:pPr>
            <w:r>
              <w:t>↓</w:t>
            </w:r>
          </w:p>
        </w:tc>
      </w:tr>
      <w:tr>
        <w:tc>
          <w:tcPr>
            <w:tcW w:type="dxa" w:w="8352"/>
            <w:vAlign w:val="center"/>
            <w:shd w:fill="FFFFFF"/>
            <w:tcMar>
              <w:top w:w="90" w:type="dxa"/>
              <w:start w:w="160" w:type="dxa"/>
              <w:bottom w:w="90" w:type="dxa"/>
              <w:end w:w="160" w:type="dxa"/>
            </w:tcMar>
          </w:tcPr>
          <w:p>
            <w:pPr>
              <w:jc w:val="center"/>
            </w:pPr>
            <w:r>
              <w:rPr>
                <w:b w:val="0"/>
              </w:rPr>
              <w:t>AUTHORISED</w:t>
            </w:r>
          </w:p>
          <w:p>
            <w:pPr>
              <w:jc w:val="center"/>
            </w:pPr>
            <w:r>
              <w:t>↓</w:t>
            </w:r>
          </w:p>
        </w:tc>
      </w:tr>
      <w:tr>
        <w:tc>
          <w:tcPr>
            <w:tcW w:type="dxa" w:w="8352"/>
            <w:vAlign w:val="center"/>
            <w:shd w:fill="F3F7F7"/>
            <w:tcMar>
              <w:top w:w="90" w:type="dxa"/>
              <w:start w:w="160" w:type="dxa"/>
              <w:bottom w:w="90" w:type="dxa"/>
              <w:end w:w="160" w:type="dxa"/>
            </w:tcMar>
          </w:tcPr>
          <w:p>
            <w:pPr>
              <w:jc w:val="center"/>
            </w:pPr>
            <w:r>
              <w:rPr>
                <w:b w:val="0"/>
              </w:rPr>
              <w:t>DISBURSEMENT SUBMITTED</w:t>
            </w:r>
          </w:p>
          <w:p>
            <w:pPr>
              <w:jc w:val="center"/>
            </w:pPr>
            <w:r>
              <w:t>↓</w:t>
            </w:r>
          </w:p>
        </w:tc>
      </w:tr>
      <w:tr>
        <w:tc>
          <w:tcPr>
            <w:tcW w:type="dxa" w:w="8352"/>
            <w:vAlign w:val="center"/>
            <w:shd w:fill="FFFFFF"/>
            <w:tcMar>
              <w:top w:w="90" w:type="dxa"/>
              <w:start w:w="160" w:type="dxa"/>
              <w:bottom w:w="90" w:type="dxa"/>
              <w:end w:w="160" w:type="dxa"/>
            </w:tcMar>
          </w:tcPr>
          <w:p>
            <w:pPr>
              <w:jc w:val="center"/>
            </w:pPr>
            <w:r>
              <w:rPr>
                <w:b w:val="0"/>
              </w:rPr>
              <w:t>ON-CHAIN SENT</w:t>
            </w:r>
          </w:p>
          <w:p>
            <w:pPr>
              <w:jc w:val="center"/>
            </w:pPr>
            <w:r>
              <w:t>↓</w:t>
            </w:r>
          </w:p>
        </w:tc>
      </w:tr>
      <w:tr>
        <w:tc>
          <w:tcPr>
            <w:tcW w:type="dxa" w:w="8352"/>
            <w:vAlign w:val="center"/>
            <w:shd w:fill="F3F7F7"/>
            <w:tcMar>
              <w:top w:w="90" w:type="dxa"/>
              <w:start w:w="160" w:type="dxa"/>
              <w:bottom w:w="90" w:type="dxa"/>
              <w:end w:w="160" w:type="dxa"/>
            </w:tcMar>
          </w:tcPr>
          <w:p>
            <w:pPr>
              <w:jc w:val="center"/>
            </w:pPr>
            <w:r>
              <w:rPr>
                <w:b w:val="0"/>
              </w:rPr>
              <w:t>OFF-RAMP PROCESSING</w:t>
            </w:r>
          </w:p>
          <w:p>
            <w:pPr>
              <w:jc w:val="center"/>
            </w:pPr>
            <w:r>
              <w:t>↓</w:t>
            </w:r>
          </w:p>
        </w:tc>
      </w:tr>
      <w:tr>
        <w:tc>
          <w:tcPr>
            <w:tcW w:type="dxa" w:w="8352"/>
            <w:vAlign w:val="center"/>
            <w:shd w:fill="FFFFFF"/>
            <w:tcMar>
              <w:top w:w="90" w:type="dxa"/>
              <w:start w:w="160" w:type="dxa"/>
              <w:bottom w:w="90" w:type="dxa"/>
              <w:end w:w="160" w:type="dxa"/>
            </w:tcMar>
          </w:tcPr>
          <w:p>
            <w:pPr>
              <w:jc w:val="center"/>
            </w:pPr>
            <w:r>
              <w:rPr>
                <w:b w:val="0"/>
              </w:rPr>
              <w:t>FIAT SETTLED</w:t>
            </w:r>
          </w:p>
          <w:p>
            <w:pPr>
              <w:jc w:val="center"/>
            </w:pPr>
            <w:r>
              <w:t>↓</w:t>
            </w:r>
          </w:p>
        </w:tc>
      </w:tr>
      <w:tr>
        <w:tc>
          <w:tcPr>
            <w:tcW w:type="dxa" w:w="8352"/>
            <w:vAlign w:val="center"/>
            <w:shd w:fill="F3F7F7"/>
            <w:tcMar>
              <w:top w:w="90" w:type="dxa"/>
              <w:start w:w="160" w:type="dxa"/>
              <w:bottom w:w="90" w:type="dxa"/>
              <w:end w:w="160" w:type="dxa"/>
            </w:tcMar>
          </w:tcPr>
          <w:p>
            <w:pPr>
              <w:jc w:val="center"/>
            </w:pPr>
            <w:r>
              <w:rPr>
                <w:b/>
              </w:rPr>
              <w:t>RECONCILED IN STUDENT LEDGER</w:t>
            </w:r>
          </w:p>
        </w:tc>
      </w:tr>
    </w:tbl>
    <w:p/>
    <w:p>
      <w:r>
        <w:t>Failure states must also exist, including on-chain failure, off-ramp failure, returned fiat, cancelled payment and manual review.</w:t>
      </w:r>
    </w:p>
    <w:p>
      <w:pPr>
        <w:pStyle w:val="Heading1"/>
      </w:pPr>
      <w:r>
        <w:t>13. Funding Currency vs. School Obligation</w:t>
      </w:r>
    </w:p>
    <w:p>
      <w:pPr>
        <w:spacing w:before="40" w:after="160"/>
        <w:pBdr>
          <w:bottom w:val="single" w:sz="8" w:space="1" w:color="2F6B70"/>
        </w:pBdr>
      </w:pPr>
    </w:p>
    <w:p>
      <w:r>
        <w:t>For Ugandan school fees, the learner’s obligation should normally remain in UGX even if a programme treasury holds USDC. HarambeeOne must record the original programme asset, quote, exchange rate, fees, USDC amount and final UGX delivered.</w:t>
      </w:r>
    </w:p>
    <w:tbl>
      <w:tblPr>
        <w:tblW w:type="auto" w:w="0"/>
        <w:jc w:val="center"/>
        <w:tblLook w:firstColumn="1" w:firstRow="1" w:lastColumn="0" w:lastRow="0" w:noHBand="0" w:noVBand="1" w:val="04A0"/>
      </w:tblPr>
      <w:tblGrid>
        <w:gridCol w:w="9936"/>
      </w:tblGrid>
      <w:tr>
        <w:tc>
          <w:tcPr>
            <w:tcW w:type="dxa" w:w="9936"/>
            <w:shd w:fill="EAF3F3"/>
            <w:tcMar>
              <w:top w:w="140" w:type="dxa"/>
              <w:start w:w="180" w:type="dxa"/>
              <w:bottom w:w="140" w:type="dxa"/>
              <w:end w:w="180" w:type="dxa"/>
            </w:tcMar>
          </w:tcPr>
          <w:p>
            <w:r>
              <w:rPr>
                <w:b/>
                <w:color w:val="184348"/>
                <w:sz w:val="22"/>
              </w:rPr>
              <w:t>Example</w:t>
              <w:br/>
            </w:r>
            <w:r>
              <w:rPr>
                <w:sz w:val="21"/>
              </w:rPr>
              <w:t>Sarah is entitled to UGX 500,000. The programme treasury holds USDC. A settlement quote determines the USDC required to deliver the promised UGX amount. Sarah’s school ledger records the final UGX settlement, while the audit record retains the Stellar and FX details.</w:t>
            </w:r>
          </w:p>
        </w:tc>
      </w:tr>
    </w:tbl>
    <w:p>
      <w:pPr>
        <w:spacing w:after="20"/>
      </w:pPr>
    </w:p>
    <w:p>
      <w:pPr>
        <w:pStyle w:val="Heading1"/>
      </w:pPr>
      <w:r>
        <w:t>14. AI in HarambeeOne</w:t>
      </w:r>
    </w:p>
    <w:p>
      <w:pPr>
        <w:spacing w:before="40" w:after="160"/>
        <w:pBdr>
          <w:bottom w:val="single" w:sz="8" w:space="1" w:color="2F6B70"/>
        </w:pBdr>
      </w:pPr>
    </w:p>
    <w:p>
      <w:r>
        <w:t>AI should make school finance easier without becoming the authority over money.</w:t>
      </w:r>
    </w:p>
    <w:p>
      <w:pPr>
        <w:pStyle w:val="ListBullet"/>
      </w:pPr>
      <w:r>
        <w:t>Suggest likely matches for unmatched payments.</w:t>
      </w:r>
    </w:p>
    <w:p>
      <w:pPr>
        <w:pStyle w:val="ListBullet"/>
      </w:pPr>
      <w:r>
        <w:t>Flag possible duplicate transactions.</w:t>
      </w:r>
    </w:p>
    <w:p>
      <w:pPr>
        <w:pStyle w:val="ListBullet"/>
      </w:pPr>
      <w:r>
        <w:t>Flag unusual adjustments for human review.</w:t>
      </w:r>
    </w:p>
    <w:p>
      <w:pPr>
        <w:pStyle w:val="ListBullet"/>
      </w:pPr>
      <w:r>
        <w:t>Answer permission-aware questions such as ‘Why is this learner’s balance UGX 350,000?’</w:t>
      </w:r>
    </w:p>
    <w:p>
      <w:pPr>
        <w:pStyle w:val="ListBullet"/>
      </w:pPr>
      <w:r>
        <w:t>Summarise collections and sponsor programme exceptions.</w:t>
      </w:r>
    </w:p>
    <w:p>
      <w:pPr>
        <w:pStyle w:val="ListBullet"/>
      </w:pPr>
      <w:r>
        <w:t>Help users navigate the platform.</w:t>
      </w:r>
    </w:p>
    <w:tbl>
      <w:tblPr>
        <w:tblW w:type="auto" w:w="0"/>
        <w:jc w:val="center"/>
        <w:tblLook w:firstColumn="1" w:firstRow="1" w:lastColumn="0" w:lastRow="0" w:noHBand="0" w:noVBand="1" w:val="04A0"/>
      </w:tblPr>
      <w:tblGrid>
        <w:gridCol w:w="9936"/>
      </w:tblGrid>
      <w:tr>
        <w:tc>
          <w:tcPr>
            <w:tcW w:type="dxa" w:w="9936"/>
            <w:shd w:fill="FFF4D9"/>
            <w:tcMar>
              <w:top w:w="140" w:type="dxa"/>
              <w:start w:w="180" w:type="dxa"/>
              <w:bottom w:w="140" w:type="dxa"/>
              <w:end w:w="180" w:type="dxa"/>
            </w:tcMar>
          </w:tcPr>
          <w:p>
            <w:r>
              <w:rPr>
                <w:b/>
                <w:color w:val="184348"/>
                <w:sz w:val="22"/>
              </w:rPr>
              <w:t>AI rule</w:t>
              <w:br/>
            </w:r>
            <w:r>
              <w:rPr>
                <w:sz w:val="21"/>
              </w:rPr>
              <w:t>Services calculate. AI explains. Humans approve. Business rules execute.</w:t>
            </w:r>
          </w:p>
        </w:tc>
      </w:tr>
    </w:tbl>
    <w:p>
      <w:pPr>
        <w:spacing w:after="20"/>
      </w:pPr>
    </w:p>
    <w:p>
      <w:r>
        <w:t>AI must not independently change fees, release sponsor money, approve bursaries, merge uncertain student identities or declare fraud. Sensitive data should be minimised before being sent to external AI or language services.</w:t>
      </w:r>
    </w:p>
    <w:p>
      <w:pPr>
        <w:pStyle w:val="Heading1"/>
      </w:pPr>
      <w:r>
        <w:t>15. Local Language and Low-Connectivity Access</w:t>
      </w:r>
    </w:p>
    <w:p>
      <w:pPr>
        <w:spacing w:before="40" w:after="160"/>
        <w:pBdr>
          <w:bottom w:val="single" w:sz="8" w:space="1" w:color="2F6B70"/>
        </w:pBdr>
      </w:pPr>
    </w:p>
    <w:p>
      <w:r>
        <w:t>HarambeeOne should not assume every parent has a smartphone or prefers English. The platform should expose the same core data through channels suited to each user.</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F6B70"/>
          </w:tcPr>
          <w:p>
            <w:r>
              <w:rPr>
                <w:b/>
                <w:color w:val="FFFFFF"/>
              </w:rPr>
              <w:t>Stakeholder</w:t>
            </w:r>
          </w:p>
        </w:tc>
        <w:tc>
          <w:tcPr>
            <w:tcW w:type="dxa" w:w="3312"/>
            <w:shd w:fill="2F6B70"/>
          </w:tcPr>
          <w:p>
            <w:r>
              <w:rPr>
                <w:b/>
                <w:color w:val="FFFFFF"/>
              </w:rPr>
              <w:t>Primary channel</w:t>
            </w:r>
          </w:p>
        </w:tc>
        <w:tc>
          <w:tcPr>
            <w:tcW w:type="dxa" w:w="3312"/>
            <w:shd w:fill="2F6B70"/>
          </w:tcPr>
          <w:p>
            <w:r>
              <w:rPr>
                <w:b/>
                <w:color w:val="FFFFFF"/>
              </w:rPr>
              <w:t>Typical use</w:t>
            </w:r>
          </w:p>
        </w:tc>
      </w:tr>
      <w:tr>
        <w:tc>
          <w:tcPr>
            <w:tcW w:type="dxa" w:w="3312"/>
          </w:tcPr>
          <w:p>
            <w:r>
              <w:t>Bursar / Registrar</w:t>
            </w:r>
          </w:p>
        </w:tc>
        <w:tc>
          <w:tcPr>
            <w:tcW w:type="dxa" w:w="3312"/>
          </w:tcPr>
          <w:p>
            <w:r>
              <w:t>Web</w:t>
            </w:r>
          </w:p>
        </w:tc>
        <w:tc>
          <w:tcPr>
            <w:tcW w:type="dxa" w:w="3312"/>
          </w:tcPr>
          <w:p>
            <w:r>
              <w:t>Registration, reconciliation, ledgers, reports</w:t>
            </w:r>
          </w:p>
        </w:tc>
      </w:tr>
      <w:tr>
        <w:tc>
          <w:tcPr>
            <w:tcW w:type="dxa" w:w="3312"/>
          </w:tcPr>
          <w:p>
            <w:r>
              <w:t>Head teacher</w:t>
            </w:r>
          </w:p>
        </w:tc>
        <w:tc>
          <w:tcPr>
            <w:tcW w:type="dxa" w:w="3312"/>
          </w:tcPr>
          <w:p>
            <w:r>
              <w:t>Web + mobile</w:t>
            </w:r>
          </w:p>
        </w:tc>
        <w:tc>
          <w:tcPr>
            <w:tcW w:type="dxa" w:w="3312"/>
          </w:tcPr>
          <w:p>
            <w:r>
              <w:t>Oversight and approvals</w:t>
            </w:r>
          </w:p>
        </w:tc>
      </w:tr>
      <w:tr>
        <w:tc>
          <w:tcPr>
            <w:tcW w:type="dxa" w:w="3312"/>
          </w:tcPr>
          <w:p>
            <w:r>
              <w:t>Parent / Guardian</w:t>
            </w:r>
          </w:p>
        </w:tc>
        <w:tc>
          <w:tcPr>
            <w:tcW w:type="dxa" w:w="3312"/>
          </w:tcPr>
          <w:p>
            <w:r>
              <w:t>Web/mobile + SMS/USSD</w:t>
            </w:r>
          </w:p>
        </w:tc>
        <w:tc>
          <w:tcPr>
            <w:tcW w:type="dxa" w:w="3312"/>
          </w:tcPr>
          <w:p>
            <w:r>
              <w:t>Balances, payment confirmation, sponsorship status</w:t>
            </w:r>
          </w:p>
        </w:tc>
      </w:tr>
      <w:tr>
        <w:tc>
          <w:tcPr>
            <w:tcW w:type="dxa" w:w="3312"/>
          </w:tcPr>
          <w:p>
            <w:r>
              <w:t>Governor / Owner</w:t>
            </w:r>
          </w:p>
        </w:tc>
        <w:tc>
          <w:tcPr>
            <w:tcW w:type="dxa" w:w="3312"/>
          </w:tcPr>
          <w:p>
            <w:r>
              <w:t>Web/mobile</w:t>
            </w:r>
          </w:p>
        </w:tc>
        <w:tc>
          <w:tcPr>
            <w:tcW w:type="dxa" w:w="3312"/>
          </w:tcPr>
          <w:p>
            <w:r>
              <w:t>Financial oversight and approvals</w:t>
            </w:r>
          </w:p>
        </w:tc>
      </w:tr>
      <w:tr>
        <w:tc>
          <w:tcPr>
            <w:tcW w:type="dxa" w:w="3312"/>
          </w:tcPr>
          <w:p>
            <w:r>
              <w:t>Sponsor / NGO</w:t>
            </w:r>
          </w:p>
        </w:tc>
        <w:tc>
          <w:tcPr>
            <w:tcW w:type="dxa" w:w="3312"/>
          </w:tcPr>
          <w:p>
            <w:r>
              <w:t>Web</w:t>
            </w:r>
          </w:p>
        </w:tc>
        <w:tc>
          <w:tcPr>
            <w:tcW w:type="dxa" w:w="3312"/>
          </w:tcPr>
          <w:p>
            <w:r>
              <w:t>Programmes, funding, beneficiaries, reports</w:t>
            </w:r>
          </w:p>
        </w:tc>
      </w:tr>
      <w:tr>
        <w:tc>
          <w:tcPr>
            <w:tcW w:type="dxa" w:w="3312"/>
          </w:tcPr>
          <w:p>
            <w:r>
              <w:t>Auditor / authorised authority</w:t>
            </w:r>
          </w:p>
        </w:tc>
        <w:tc>
          <w:tcPr>
            <w:tcW w:type="dxa" w:w="3312"/>
          </w:tcPr>
          <w:p>
            <w:r>
              <w:t>Read-only secure web/export</w:t>
            </w:r>
          </w:p>
        </w:tc>
        <w:tc>
          <w:tcPr>
            <w:tcW w:type="dxa" w:w="3312"/>
          </w:tcPr>
          <w:p>
            <w:r>
              <w:t>Audit and authorised reporting</w:t>
            </w:r>
          </w:p>
        </w:tc>
      </w:tr>
      <w:tr>
        <w:tc>
          <w:tcPr>
            <w:tcW w:type="dxa" w:w="3312"/>
          </w:tcPr>
          <w:p>
            <w:r>
              <w:t>Developer / partner</w:t>
            </w:r>
          </w:p>
        </w:tc>
        <w:tc>
          <w:tcPr>
            <w:tcW w:type="dxa" w:w="3312"/>
          </w:tcPr>
          <w:p>
            <w:r>
              <w:t>API</w:t>
            </w:r>
          </w:p>
        </w:tc>
        <w:tc>
          <w:tcPr>
            <w:tcW w:type="dxa" w:w="3312"/>
          </w:tcPr>
          <w:p>
            <w:r>
              <w:t>Integrations and programme tooling</w:t>
            </w:r>
          </w:p>
        </w:tc>
      </w:tr>
    </w:tbl>
    <w:p>
      <w:r>
        <w:t>Africa’s Talking can be the first provider for SMS and USSD, while Sunbird AI can support translation into selected Ugandan languages. Both should sit behind replaceable interfaces so the core platform continues working if an external provider is unavailable.</w:t>
      </w:r>
    </w:p>
    <w:p>
      <w:pPr>
        <w:pStyle w:val="Heading1"/>
      </w:pPr>
      <w:r>
        <w:t>16. Financial Governance</w:t>
      </w:r>
    </w:p>
    <w:p>
      <w:pPr>
        <w:spacing w:before="40" w:after="160"/>
        <w:pBdr>
          <w:bottom w:val="single" w:sz="8" w:space="1" w:color="2F6B70"/>
        </w:pBdr>
      </w:pPr>
    </w:p>
    <w:p>
      <w:r>
        <w:t>HarambeeOne should focus V1 governance on financial authority rather than trying to become full board-management software.</w:t>
      </w:r>
    </w:p>
    <w:tbl>
      <w:tblPr>
        <w:tblW w:type="auto" w:w="0"/>
        <w:jc w:val="center"/>
        <w:tblLayout w:type="fixed"/>
        <w:tblLook w:firstColumn="1" w:firstRow="1" w:lastColumn="0" w:lastRow="0" w:noHBand="0" w:noVBand="1" w:val="04A0"/>
      </w:tblPr>
      <w:tblGrid>
        <w:gridCol w:w="9936"/>
      </w:tblGrid>
      <w:tr>
        <w:tc>
          <w:tcPr>
            <w:tcW w:type="dxa" w:w="8352"/>
            <w:vAlign w:val="center"/>
            <w:shd w:fill="F3F7F7"/>
            <w:tcMar>
              <w:top w:w="90" w:type="dxa"/>
              <w:start w:w="160" w:type="dxa"/>
              <w:bottom w:w="90" w:type="dxa"/>
              <w:end w:w="160" w:type="dxa"/>
            </w:tcMar>
          </w:tcPr>
          <w:p>
            <w:pPr>
              <w:jc w:val="center"/>
            </w:pPr>
            <w:r>
              <w:rPr>
                <w:b/>
              </w:rPr>
              <w:t>Sensitive financial action proposed</w:t>
            </w:r>
          </w:p>
          <w:p>
            <w:pPr>
              <w:jc w:val="center"/>
            </w:pPr>
            <w:r>
              <w:t>↓</w:t>
            </w:r>
          </w:p>
        </w:tc>
      </w:tr>
      <w:tr>
        <w:tc>
          <w:tcPr>
            <w:tcW w:type="dxa" w:w="8352"/>
            <w:vAlign w:val="center"/>
            <w:shd w:fill="FFFFFF"/>
            <w:tcMar>
              <w:top w:w="90" w:type="dxa"/>
              <w:start w:w="160" w:type="dxa"/>
              <w:bottom w:w="90" w:type="dxa"/>
              <w:end w:w="160" w:type="dxa"/>
            </w:tcMar>
          </w:tcPr>
          <w:p>
            <w:pPr>
              <w:jc w:val="center"/>
            </w:pPr>
            <w:r>
              <w:rPr>
                <w:b w:val="0"/>
              </w:rPr>
              <w:t>Policy engine checks required approvers</w:t>
            </w:r>
          </w:p>
          <w:p>
            <w:pPr>
              <w:jc w:val="center"/>
            </w:pPr>
            <w:r>
              <w:t>↓</w:t>
            </w:r>
          </w:p>
        </w:tc>
      </w:tr>
      <w:tr>
        <w:tc>
          <w:tcPr>
            <w:tcW w:type="dxa" w:w="8352"/>
            <w:vAlign w:val="center"/>
            <w:shd w:fill="F3F7F7"/>
            <w:tcMar>
              <w:top w:w="90" w:type="dxa"/>
              <w:start w:w="160" w:type="dxa"/>
              <w:bottom w:w="90" w:type="dxa"/>
              <w:end w:w="160" w:type="dxa"/>
            </w:tcMar>
          </w:tcPr>
          <w:p>
            <w:pPr>
              <w:jc w:val="center"/>
            </w:pPr>
            <w:r>
              <w:rPr>
                <w:b w:val="0"/>
              </w:rPr>
              <w:t>Human approvals collected</w:t>
            </w:r>
          </w:p>
          <w:p>
            <w:pPr>
              <w:jc w:val="center"/>
            </w:pPr>
            <w:r>
              <w:t>↓</w:t>
            </w:r>
          </w:p>
        </w:tc>
      </w:tr>
      <w:tr>
        <w:tc>
          <w:tcPr>
            <w:tcW w:type="dxa" w:w="8352"/>
            <w:vAlign w:val="center"/>
            <w:shd w:fill="FFFFFF"/>
            <w:tcMar>
              <w:top w:w="90" w:type="dxa"/>
              <w:start w:w="160" w:type="dxa"/>
              <w:bottom w:w="90" w:type="dxa"/>
              <w:end w:w="160" w:type="dxa"/>
            </w:tcMar>
          </w:tcPr>
          <w:p>
            <w:pPr>
              <w:jc w:val="center"/>
            </w:pPr>
            <w:r>
              <w:rPr>
                <w:b w:val="0"/>
              </w:rPr>
              <w:t>Threshold satisfied</w:t>
            </w:r>
          </w:p>
          <w:p>
            <w:pPr>
              <w:jc w:val="center"/>
            </w:pPr>
            <w:r>
              <w:t>↓</w:t>
            </w:r>
          </w:p>
        </w:tc>
      </w:tr>
      <w:tr>
        <w:tc>
          <w:tcPr>
            <w:tcW w:type="dxa" w:w="8352"/>
            <w:vAlign w:val="center"/>
            <w:shd w:fill="F3F7F7"/>
            <w:tcMar>
              <w:top w:w="90" w:type="dxa"/>
              <w:start w:w="160" w:type="dxa"/>
              <w:bottom w:w="90" w:type="dxa"/>
              <w:end w:w="160" w:type="dxa"/>
            </w:tcMar>
          </w:tcPr>
          <w:p>
            <w:pPr>
              <w:jc w:val="center"/>
            </w:pPr>
            <w:r>
              <w:rPr>
                <w:b/>
              </w:rPr>
              <w:t>Action executed and audit event recorded</w:t>
            </w:r>
          </w:p>
        </w:tc>
      </w:tr>
    </w:tbl>
    <w:p/>
    <w:p>
      <w:r>
        <w:t>When an approval controls an on-chain programme asset, Soroban can enforce the required authorisation. Normal school decisions remain off-chain unless blockchain enforcement adds real value.</w:t>
      </w:r>
    </w:p>
    <w:p>
      <w:pPr>
        <w:pStyle w:val="Heading1"/>
      </w:pPr>
      <w:r>
        <w:t>17. Privacy and Security</w:t>
      </w:r>
    </w:p>
    <w:p>
      <w:pPr>
        <w:spacing w:before="40" w:after="160"/>
        <w:pBdr>
          <w:bottom w:val="single" w:sz="8" w:space="1" w:color="2F6B70"/>
        </w:pBdr>
      </w:pPr>
    </w:p>
    <w:p>
      <w:pPr>
        <w:pStyle w:val="ListBullet"/>
      </w:pPr>
      <w:r>
        <w:t>No identifiable child data should be placed on Stellar.</w:t>
      </w:r>
    </w:p>
    <w:p>
      <w:pPr>
        <w:pStyle w:val="ListBullet"/>
      </w:pPr>
      <w:r>
        <w:t>Every school is isolated as its own tenant; one school must never query another school’s private data without explicit programme authority.</w:t>
      </w:r>
    </w:p>
    <w:p>
      <w:pPr>
        <w:pStyle w:val="ListBullet"/>
      </w:pPr>
      <w:r>
        <w:t>Staff access follows roles and least privilege.</w:t>
      </w:r>
    </w:p>
    <w:p>
      <w:pPr>
        <w:pStyle w:val="ListBullet"/>
      </w:pPr>
      <w:r>
        <w:t>Sensitive actions require stronger authentication and approval.</w:t>
      </w:r>
    </w:p>
    <w:p>
      <w:pPr>
        <w:pStyle w:val="ListBullet"/>
      </w:pPr>
      <w:r>
        <w:t>Financial history and audit events are append-only or corrected through traceable entries.</w:t>
      </w:r>
    </w:p>
    <w:p>
      <w:pPr>
        <w:pStyle w:val="ListBullet"/>
      </w:pPr>
      <w:r>
        <w:t>USSD and SMS expose only the minimum information necessary.</w:t>
      </w:r>
    </w:p>
    <w:p>
      <w:pPr>
        <w:pStyle w:val="ListBullet"/>
      </w:pPr>
      <w:r>
        <w:t>Sponsor transparency is permission-based; public reporting is anonymised or aggregated.</w:t>
      </w:r>
    </w:p>
    <w:p>
      <w:pPr>
        <w:pStyle w:val="ListBullet"/>
      </w:pPr>
      <w:r>
        <w:t>External AI receives only the minimum data required for the task.</w:t>
      </w:r>
    </w:p>
    <w:p>
      <w:pPr>
        <w:pStyle w:val="Heading1"/>
      </w:pPr>
      <w:r>
        <w:t>18. What Goes On-Chain and What Stays Off-Chain</w:t>
      </w:r>
    </w:p>
    <w:p>
      <w:pPr>
        <w:spacing w:before="40" w:after="160"/>
        <w:pBdr>
          <w:bottom w:val="single" w:sz="8" w:space="1" w:color="2F6B70"/>
        </w:pBdr>
      </w:pPr>
    </w:p>
    <w:tbl>
      <w:tblPr>
        <w:tblStyle w:val="TableGrid"/>
        <w:tblW w:type="auto" w:w="0"/>
        <w:jc w:val="center"/>
        <w:tblLook w:firstColumn="1" w:firstRow="1" w:lastColumn="0" w:lastRow="0" w:noHBand="0" w:noVBand="1" w:val="04A0"/>
      </w:tblPr>
      <w:tblGrid>
        <w:gridCol w:w="4968"/>
        <w:gridCol w:w="4968"/>
      </w:tblGrid>
      <w:tr>
        <w:tc>
          <w:tcPr>
            <w:tcW w:type="dxa" w:w="4968"/>
            <w:shd w:fill="2F6B70"/>
          </w:tcPr>
          <w:p>
            <w:r>
              <w:rPr>
                <w:b/>
                <w:color w:val="FFFFFF"/>
              </w:rPr>
              <w:t>Off-chain in HarambeeOne</w:t>
            </w:r>
          </w:p>
        </w:tc>
        <w:tc>
          <w:tcPr>
            <w:tcW w:type="dxa" w:w="4968"/>
            <w:shd w:fill="2F6B70"/>
          </w:tcPr>
          <w:p>
            <w:r>
              <w:rPr>
                <w:b/>
                <w:color w:val="FFFFFF"/>
              </w:rPr>
              <w:t>On Stellar / Soroban</w:t>
            </w:r>
          </w:p>
        </w:tc>
      </w:tr>
      <w:tr>
        <w:tc>
          <w:tcPr>
            <w:tcW w:type="dxa" w:w="4968"/>
          </w:tcPr>
          <w:p>
            <w:r>
              <w:t>Student identity and guardians</w:t>
            </w:r>
          </w:p>
        </w:tc>
        <w:tc>
          <w:tcPr>
            <w:tcW w:type="dxa" w:w="4968"/>
          </w:tcPr>
          <w:p>
            <w:r>
              <w:t>Programme identifier</w:t>
            </w:r>
          </w:p>
        </w:tc>
      </w:tr>
      <w:tr>
        <w:tc>
          <w:tcPr>
            <w:tcW w:type="dxa" w:w="4968"/>
          </w:tcPr>
          <w:p>
            <w:r>
              <w:t>Classes, streams and enrollment history</w:t>
            </w:r>
          </w:p>
        </w:tc>
        <w:tc>
          <w:tcPr>
            <w:tcW w:type="dxa" w:w="4968"/>
          </w:tcPr>
          <w:p>
            <w:r>
              <w:t>Approved institution reference</w:t>
            </w:r>
          </w:p>
        </w:tc>
      </w:tr>
      <w:tr>
        <w:tc>
          <w:tcPr>
            <w:tcW w:type="dxa" w:w="4968"/>
          </w:tcPr>
          <w:p>
            <w:r>
              <w:t>School fee ledger</w:t>
            </w:r>
          </w:p>
        </w:tc>
        <w:tc>
          <w:tcPr>
            <w:tcW w:type="dxa" w:w="4968"/>
          </w:tcPr>
          <w:p>
            <w:r>
              <w:t>Pseudonymous beneficiary reference</w:t>
            </w:r>
          </w:p>
        </w:tc>
      </w:tr>
      <w:tr>
        <w:tc>
          <w:tcPr>
            <w:tcW w:type="dxa" w:w="4968"/>
          </w:tcPr>
          <w:p>
            <w:r>
              <w:t>SchoolPay/bank/MoMo/cash records</w:t>
            </w:r>
          </w:p>
        </w:tc>
        <w:tc>
          <w:tcPr>
            <w:tcW w:type="dxa" w:w="4968"/>
          </w:tcPr>
          <w:p>
            <w:r>
              <w:t>Funding allocation</w:t>
            </w:r>
          </w:p>
        </w:tc>
      </w:tr>
      <w:tr>
        <w:tc>
          <w:tcPr>
            <w:tcW w:type="dxa" w:w="4968"/>
          </w:tcPr>
          <w:p>
            <w:r>
              <w:t>Documents and private sponsor evidence</w:t>
            </w:r>
          </w:p>
        </w:tc>
        <w:tc>
          <w:tcPr>
            <w:tcW w:type="dxa" w:w="4968"/>
          </w:tcPr>
          <w:p>
            <w:r>
              <w:t>Programme treasury state</w:t>
            </w:r>
          </w:p>
        </w:tc>
      </w:tr>
      <w:tr>
        <w:tc>
          <w:tcPr>
            <w:tcW w:type="dxa" w:w="4968"/>
          </w:tcPr>
          <w:p>
            <w:r>
              <w:t>Detailed reports and AI context</w:t>
            </w:r>
          </w:p>
        </w:tc>
        <w:tc>
          <w:tcPr>
            <w:tcW w:type="dxa" w:w="4968"/>
          </w:tcPr>
          <w:p>
            <w:r>
              <w:t>Authorisation / disbursement state</w:t>
            </w:r>
          </w:p>
        </w:tc>
      </w:tr>
    </w:tbl>
    <w:p>
      <w:pPr>
        <w:pStyle w:val="Heading1"/>
      </w:pPr>
      <w:r>
        <w:t>19. Why This Is Valuable to Stellar and SCF</w:t>
      </w:r>
    </w:p>
    <w:p>
      <w:pPr>
        <w:spacing w:before="40" w:after="160"/>
        <w:pBdr>
          <w:bottom w:val="single" w:sz="8" w:space="1" w:color="2F6B70"/>
        </w:pBdr>
      </w:pPr>
    </w:p>
    <w:p>
      <w:r>
        <w:t>The SCF-facing project should not be described as ‘a school ERP on blockchain’. HarambeeOne School is the real-world distribution and reference application. The Stellar contribution is the open-source Education Funding Protocol that other developers can reuse.</w:t>
      </w:r>
    </w:p>
    <w:p>
      <w:pPr>
        <w:pStyle w:val="ListBullet"/>
      </w:pPr>
      <w:r>
        <w:t>Creates a real education-finance use case for USDC and Soroban.</w:t>
      </w:r>
    </w:p>
    <w:p>
      <w:pPr>
        <w:pStyle w:val="ListBullet"/>
      </w:pPr>
      <w:r>
        <w:t>Uses Stellar for programmable value, not for storing ordinary database records.</w:t>
      </w:r>
    </w:p>
    <w:p>
      <w:pPr>
        <w:pStyle w:val="ListBullet"/>
      </w:pPr>
      <w:r>
        <w:t>Builds on existing Stellar infrastructure instead of recreating disbursement and anchor standards.</w:t>
      </w:r>
    </w:p>
    <w:p>
      <w:pPr>
        <w:pStyle w:val="ListBullet"/>
      </w:pPr>
      <w:r>
        <w:t>Can produce real mainnet activity through funded programmes and repeat term disbursements.</w:t>
      </w:r>
    </w:p>
    <w:p>
      <w:pPr>
        <w:pStyle w:val="ListBullet"/>
      </w:pPr>
      <w:r>
        <w:t>Can be reused beyond Uganda for scholarships, university tuition, vocational training, stipends and education grants.</w:t>
      </w:r>
    </w:p>
    <w:p>
      <w:pPr>
        <w:pStyle w:val="ListBullet"/>
      </w:pPr>
      <w:r>
        <w:t>Gives Stellar a domain-specific layer that answers why, when and under what rules an education payment should be released.</w:t>
      </w:r>
    </w:p>
    <w:tbl>
      <w:tblPr>
        <w:tblW w:type="auto" w:w="0"/>
        <w:jc w:val="center"/>
        <w:tblLook w:firstColumn="1" w:firstRow="1" w:lastColumn="0" w:lastRow="0" w:noHBand="0" w:noVBand="1" w:val="04A0"/>
      </w:tblPr>
      <w:tblGrid>
        <w:gridCol w:w="9936"/>
      </w:tblGrid>
      <w:tr>
        <w:tc>
          <w:tcPr>
            <w:tcW w:type="dxa" w:w="9936"/>
            <w:shd w:fill="EAF3F3"/>
            <w:tcMar>
              <w:top w:w="140" w:type="dxa"/>
              <w:start w:w="180" w:type="dxa"/>
              <w:bottom w:w="140" w:type="dxa"/>
              <w:end w:w="180" w:type="dxa"/>
            </w:tcMar>
          </w:tcPr>
          <w:p>
            <w:r>
              <w:rPr>
                <w:b/>
                <w:color w:val="184348"/>
                <w:sz w:val="22"/>
              </w:rPr>
              <w:t>SCF proposition</w:t>
              <w:br/>
            </w:r>
            <w:r>
              <w:rPr>
                <w:sz w:val="21"/>
              </w:rPr>
              <w:t>SCF funds the open-source programmable education-funding infrastructure and its path to mainnet. HarambeeOne provides the real Ugandan school and sponsor implementation that proves the protocol works.</w:t>
            </w:r>
          </w:p>
        </w:tc>
      </w:tr>
    </w:tbl>
    <w:p>
      <w:pPr>
        <w:spacing w:after="20"/>
      </w:pPr>
    </w:p>
    <w:p>
      <w:pPr>
        <w:pStyle w:val="Heading1"/>
      </w:pPr>
      <w:r>
        <w:t>20. Open-Source Education Funding Protocol</w:t>
      </w:r>
    </w:p>
    <w:p>
      <w:pPr>
        <w:spacing w:before="40" w:after="160"/>
        <w:pBdr>
          <w:bottom w:val="single" w:sz="8" w:space="1" w:color="2F6B70"/>
        </w:pBdr>
      </w:pPr>
    </w:p>
    <w:p>
      <w:r>
        <w:t>A reusable protocol/SDK could expose functions such as:</w:t>
      </w:r>
    </w:p>
    <w:tbl>
      <w:tblPr>
        <w:tblStyle w:val="TableGrid"/>
        <w:tblW w:type="auto" w:w="0"/>
        <w:jc w:val="center"/>
        <w:tblLook w:firstColumn="1" w:firstRow="1" w:lastColumn="0" w:lastRow="0" w:noHBand="0" w:noVBand="1" w:val="04A0"/>
      </w:tblPr>
      <w:tblGrid>
        <w:gridCol w:w="4968"/>
        <w:gridCol w:w="4968"/>
      </w:tblGrid>
      <w:tr>
        <w:tc>
          <w:tcPr>
            <w:tcW w:type="dxa" w:w="4968"/>
          </w:tcPr>
          <w:p>
            <w:r>
              <w:t>create_program()</w:t>
            </w:r>
          </w:p>
        </w:tc>
        <w:tc>
          <w:tcPr>
            <w:tcW w:type="dxa" w:w="4968"/>
          </w:tcPr>
          <w:p>
            <w:r>
              <w:t>Create a structured education funding programme.</w:t>
            </w:r>
          </w:p>
        </w:tc>
      </w:tr>
      <w:tr>
        <w:tc>
          <w:tcPr>
            <w:tcW w:type="dxa" w:w="4968"/>
          </w:tcPr>
          <w:p>
            <w:r>
              <w:t>fund_program()</w:t>
            </w:r>
          </w:p>
        </w:tc>
        <w:tc>
          <w:tcPr>
            <w:tcW w:type="dxa" w:w="4968"/>
          </w:tcPr>
          <w:p>
            <w:r>
              <w:t>Commit supported on-chain assets to the programme.</w:t>
            </w:r>
          </w:p>
        </w:tc>
      </w:tr>
      <w:tr>
        <w:tc>
          <w:tcPr>
            <w:tcW w:type="dxa" w:w="4968"/>
          </w:tcPr>
          <w:p>
            <w:r>
              <w:t>register_institution()</w:t>
            </w:r>
          </w:p>
        </w:tc>
        <w:tc>
          <w:tcPr>
            <w:tcW w:type="dxa" w:w="4968"/>
          </w:tcPr>
          <w:p>
            <w:r>
              <w:t>Authorise a school/institution reference.</w:t>
            </w:r>
          </w:p>
        </w:tc>
      </w:tr>
      <w:tr>
        <w:tc>
          <w:tcPr>
            <w:tcW w:type="dxa" w:w="4968"/>
          </w:tcPr>
          <w:p>
            <w:r>
              <w:t>add_beneficiary()</w:t>
            </w:r>
          </w:p>
        </w:tc>
        <w:tc>
          <w:tcPr>
            <w:tcW w:type="dxa" w:w="4968"/>
          </w:tcPr>
          <w:p>
            <w:r>
              <w:t>Add a pseudonymous beneficiary reference.</w:t>
            </w:r>
          </w:p>
        </w:tc>
      </w:tr>
      <w:tr>
        <w:tc>
          <w:tcPr>
            <w:tcW w:type="dxa" w:w="4968"/>
          </w:tcPr>
          <w:p>
            <w:r>
              <w:t>allocate_funding()</w:t>
            </w:r>
          </w:p>
        </w:tc>
        <w:tc>
          <w:tcPr>
            <w:tcW w:type="dxa" w:w="4968"/>
          </w:tcPr>
          <w:p>
            <w:r>
              <w:t>Assign an entitlement.</w:t>
            </w:r>
          </w:p>
        </w:tc>
      </w:tr>
      <w:tr>
        <w:tc>
          <w:tcPr>
            <w:tcW w:type="dxa" w:w="4968"/>
          </w:tcPr>
          <w:p>
            <w:r>
              <w:t>confirm_eligibility()</w:t>
            </w:r>
          </w:p>
        </w:tc>
        <w:tc>
          <w:tcPr>
            <w:tcW w:type="dxa" w:w="4968"/>
          </w:tcPr>
          <w:p>
            <w:r>
              <w:t>Record the required eligibility/enrollment confirmation.</w:t>
            </w:r>
          </w:p>
        </w:tc>
      </w:tr>
      <w:tr>
        <w:tc>
          <w:tcPr>
            <w:tcW w:type="dxa" w:w="4968"/>
          </w:tcPr>
          <w:p>
            <w:r>
              <w:t>authorize_release()</w:t>
            </w:r>
          </w:p>
        </w:tc>
        <w:tc>
          <w:tcPr>
            <w:tcW w:type="dxa" w:w="4968"/>
          </w:tcPr>
          <w:p>
            <w:r>
              <w:t>Authorise a scheduled or milestone payment.</w:t>
            </w:r>
          </w:p>
        </w:tc>
      </w:tr>
      <w:tr>
        <w:tc>
          <w:tcPr>
            <w:tcW w:type="dxa" w:w="4968"/>
          </w:tcPr>
          <w:p>
            <w:r>
              <w:t>transfer_beneficiary()</w:t>
            </w:r>
          </w:p>
        </w:tc>
        <w:tc>
          <w:tcPr>
            <w:tcW w:type="dxa" w:w="4968"/>
          </w:tcPr>
          <w:p>
            <w:r>
              <w:t>Move future entitlement under permitted programme rules.</w:t>
            </w:r>
          </w:p>
        </w:tc>
      </w:tr>
      <w:tr>
        <w:tc>
          <w:tcPr>
            <w:tcW w:type="dxa" w:w="4968"/>
          </w:tcPr>
          <w:p>
            <w:r>
              <w:t>suspend_beneficiary()</w:t>
            </w:r>
          </w:p>
        </w:tc>
        <w:tc>
          <w:tcPr>
            <w:tcW w:type="dxa" w:w="4968"/>
          </w:tcPr>
          <w:p>
            <w:r>
              <w:t>Stop future releases without erasing history.</w:t>
            </w:r>
          </w:p>
        </w:tc>
      </w:tr>
      <w:tr>
        <w:tc>
          <w:tcPr>
            <w:tcW w:type="dxa" w:w="4968"/>
          </w:tcPr>
          <w:p>
            <w:r>
              <w:t>return_unused_funds()</w:t>
            </w:r>
          </w:p>
        </w:tc>
        <w:tc>
          <w:tcPr>
            <w:tcW w:type="dxa" w:w="4968"/>
          </w:tcPr>
          <w:p>
            <w:r>
              <w:t>Return or recycle unused programme value.</w:t>
            </w:r>
          </w:p>
        </w:tc>
      </w:tr>
      <w:tr>
        <w:tc>
          <w:tcPr>
            <w:tcW w:type="dxa" w:w="4968"/>
          </w:tcPr>
          <w:p>
            <w:r>
              <w:t>close_program()</w:t>
            </w:r>
          </w:p>
        </w:tc>
        <w:tc>
          <w:tcPr>
            <w:tcW w:type="dxa" w:w="4968"/>
          </w:tcPr>
          <w:p>
            <w:r>
              <w:t>Close the programme under agreed rules.</w:t>
            </w:r>
          </w:p>
        </w:tc>
      </w:tr>
    </w:tbl>
    <w:p>
      <w:pPr>
        <w:pStyle w:val="Heading1"/>
      </w:pPr>
      <w:r>
        <w:t>21. Revenue Model</w:t>
      </w:r>
    </w:p>
    <w:p>
      <w:pPr>
        <w:spacing w:before="40" w:after="160"/>
        <w:pBdr>
          <w:bottom w:val="single" w:sz="8" w:space="1" w:color="2F6B70"/>
        </w:pBdr>
      </w:pPr>
    </w:p>
    <w:p>
      <w:pPr>
        <w:pStyle w:val="ListBullet"/>
      </w:pPr>
      <w:r>
        <w:t>Schools pay a SaaS subscription for finance, reconciliation and reporting features.</w:t>
      </w:r>
    </w:p>
    <w:p>
      <w:pPr>
        <w:pStyle w:val="ListBullet"/>
      </w:pPr>
      <w:r>
        <w:t>Sponsors/NGOs can pay programme-management or enterprise fees.</w:t>
      </w:r>
    </w:p>
    <w:p>
      <w:pPr>
        <w:pStyle w:val="ListBullet"/>
      </w:pPr>
      <w:r>
        <w:t>Large organisations can pay for APIs, multi-school reporting and custom integrations.</w:t>
      </w:r>
    </w:p>
    <w:p>
      <w:pPr>
        <w:pStyle w:val="ListBullet"/>
      </w:pPr>
      <w:r>
        <w:t>Stellar/SCF funding should accelerate open-source protocol development and mainnet adoption, not become the company’s permanent revenue source.</w:t>
      </w:r>
    </w:p>
    <w:p>
      <w:pPr>
        <w:pStyle w:val="Heading1"/>
      </w:pPr>
      <w:r>
        <w:t>22. What We Should Build First</w:t>
      </w:r>
    </w:p>
    <w:p>
      <w:pPr>
        <w:spacing w:before="40" w:after="160"/>
        <w:pBdr>
          <w:bottom w:val="single" w:sz="8" w:space="1" w:color="2F6B70"/>
        </w:pBdr>
      </w:pPr>
    </w:p>
    <w:tbl>
      <w:tblPr>
        <w:tblStyle w:val="TableGrid"/>
        <w:tblW w:type="auto" w:w="0"/>
        <w:jc w:val="center"/>
        <w:tblLook w:firstColumn="1" w:firstRow="1" w:lastColumn="0" w:lastRow="0" w:noHBand="0" w:noVBand="1" w:val="04A0"/>
      </w:tblPr>
      <w:tblGrid>
        <w:gridCol w:w="4968"/>
        <w:gridCol w:w="4968"/>
      </w:tblGrid>
      <w:tr>
        <w:tc>
          <w:tcPr>
            <w:tcW w:type="dxa" w:w="4968"/>
            <w:shd w:fill="2F6B70"/>
          </w:tcPr>
          <w:p>
            <w:r>
              <w:rPr>
                <w:b/>
                <w:color w:val="FFFFFF"/>
              </w:rPr>
              <w:t>Build first</w:t>
            </w:r>
          </w:p>
        </w:tc>
        <w:tc>
          <w:tcPr>
            <w:tcW w:type="dxa" w:w="4968"/>
            <w:shd w:fill="2F6B70"/>
          </w:tcPr>
          <w:p>
            <w:r>
              <w:rPr>
                <w:b/>
                <w:color w:val="FFFFFF"/>
              </w:rPr>
              <w:t>Build later</w:t>
            </w:r>
          </w:p>
        </w:tc>
      </w:tr>
      <w:tr>
        <w:tc>
          <w:tcPr>
            <w:tcW w:type="dxa" w:w="4968"/>
          </w:tcPr>
          <w:p>
            <w:r>
              <w:t>Student identity and enrollment</w:t>
            </w:r>
          </w:p>
        </w:tc>
        <w:tc>
          <w:tcPr>
            <w:tcW w:type="dxa" w:w="4968"/>
          </w:tcPr>
          <w:p>
            <w:r>
              <w:t>Full examination/result management</w:t>
            </w:r>
          </w:p>
        </w:tc>
      </w:tr>
      <w:tr>
        <w:tc>
          <w:tcPr>
            <w:tcW w:type="dxa" w:w="4968"/>
          </w:tcPr>
          <w:p>
            <w:r>
              <w:t>Fee structures and student ledger</w:t>
            </w:r>
          </w:p>
        </w:tc>
        <w:tc>
          <w:tcPr>
            <w:tcW w:type="dxa" w:w="4968"/>
          </w:tcPr>
          <w:p>
            <w:r>
              <w:t>Payroll and HR</w:t>
            </w:r>
          </w:p>
        </w:tc>
      </w:tr>
      <w:tr>
        <w:tc>
          <w:tcPr>
            <w:tcW w:type="dxa" w:w="4968"/>
          </w:tcPr>
          <w:p>
            <w:r>
              <w:t>SchoolPay/bank payment import</w:t>
            </w:r>
          </w:p>
        </w:tc>
        <w:tc>
          <w:tcPr>
            <w:tcW w:type="dxa" w:w="4968"/>
          </w:tcPr>
          <w:p>
            <w:r>
              <w:t>Library/transport/hostel modules</w:t>
            </w:r>
          </w:p>
        </w:tc>
      </w:tr>
      <w:tr>
        <w:tc>
          <w:tcPr>
            <w:tcW w:type="dxa" w:w="4968"/>
          </w:tcPr>
          <w:p>
            <w:r>
              <w:t>Reconciliation and adjustments</w:t>
            </w:r>
          </w:p>
        </w:tc>
        <w:tc>
          <w:tcPr>
            <w:tcW w:type="dxa" w:w="4968"/>
          </w:tcPr>
          <w:p>
            <w:r>
              <w:t>Voice AI</w:t>
            </w:r>
          </w:p>
        </w:tc>
      </w:tr>
      <w:tr>
        <w:tc>
          <w:tcPr>
            <w:tcW w:type="dxa" w:w="4968"/>
          </w:tcPr>
          <w:p>
            <w:r>
              <w:t>Basic AI finance assistant</w:t>
            </w:r>
          </w:p>
        </w:tc>
        <w:tc>
          <w:tcPr>
            <w:tcW w:type="dxa" w:w="4968"/>
          </w:tcPr>
          <w:p>
            <w:r>
              <w:t>Many local languages at once</w:t>
            </w:r>
          </w:p>
        </w:tc>
      </w:tr>
      <w:tr>
        <w:tc>
          <w:tcPr>
            <w:tcW w:type="dxa" w:w="4968"/>
          </w:tcPr>
          <w:p>
            <w:r>
              <w:t>SMS + simple USSD</w:t>
            </w:r>
          </w:p>
        </w:tc>
        <w:tc>
          <w:tcPr>
            <w:tcW w:type="dxa" w:w="4968"/>
          </w:tcPr>
          <w:p>
            <w:r>
              <w:t>Direct Ministry portal before agreement</w:t>
            </w:r>
          </w:p>
        </w:tc>
      </w:tr>
      <w:tr>
        <w:tc>
          <w:tcPr>
            <w:tcW w:type="dxa" w:w="4968"/>
          </w:tcPr>
          <w:p>
            <w:r>
              <w:t>Sponsor programme management</w:t>
            </w:r>
          </w:p>
        </w:tc>
        <w:tc>
          <w:tcPr>
            <w:tcW w:type="dxa" w:w="4968"/>
          </w:tcPr>
          <w:p>
            <w:r>
              <w:t>Full offline accounting</w:t>
            </w:r>
          </w:p>
        </w:tc>
      </w:tr>
      <w:tr>
        <w:tc>
          <w:tcPr>
            <w:tcW w:type="dxa" w:w="4968"/>
          </w:tcPr>
          <w:p>
            <w:r>
              <w:t>Soroban education funding contract</w:t>
            </w:r>
          </w:p>
        </w:tc>
        <w:tc>
          <w:tcPr>
            <w:tcW w:type="dxa" w:w="4968"/>
          </w:tcPr>
          <w:p>
            <w:r>
              <w:t>Every bank and payment provider</w:t>
            </w:r>
          </w:p>
        </w:tc>
      </w:tr>
      <w:tr>
        <w:tc>
          <w:tcPr>
            <w:tcW w:type="dxa" w:w="4968"/>
          </w:tcPr>
          <w:p>
            <w:r>
              <w:t>Testnet USDC programme flow</w:t>
            </w:r>
          </w:p>
        </w:tc>
        <w:tc>
          <w:tcPr>
            <w:tcW w:type="dxa" w:w="4968"/>
          </w:tcPr>
          <w:p>
            <w:r>
              <w:t>Nationwide rollout before pilot proof</w:t>
            </w:r>
          </w:p>
        </w:tc>
      </w:tr>
      <w:tr>
        <w:tc>
          <w:tcPr>
            <w:tcW w:type="dxa" w:w="4968"/>
          </w:tcPr>
          <w:p>
            <w:r>
              <w:t>Settlement gateway abstraction</w:t>
            </w:r>
          </w:p>
        </w:tc>
        <w:tc>
          <w:tcPr>
            <w:tcW w:type="dxa" w:w="4968"/>
          </w:tcPr>
          <w:p>
            <w:r>
              <w:t>Unnecessary on-chain school records</w:t>
            </w:r>
          </w:p>
        </w:tc>
      </w:tr>
      <w:tr>
        <w:tc>
          <w:tcPr>
            <w:tcW w:type="dxa" w:w="4968"/>
          </w:tcPr>
          <w:p>
            <w:r>
              <w:t>Audit, privacy and role controls</w:t>
            </w:r>
          </w:p>
        </w:tc>
        <w:tc>
          <w:tcPr>
            <w:tcW w:type="dxa" w:w="4968"/>
          </w:tcPr>
          <w:p>
            <w:r/>
          </w:p>
        </w:tc>
      </w:tr>
    </w:tbl>
    <w:p>
      <w:pPr>
        <w:pStyle w:val="Heading1"/>
      </w:pPr>
      <w:r>
        <w:t>23. Proof Before Scale</w:t>
      </w:r>
    </w:p>
    <w:p>
      <w:pPr>
        <w:spacing w:before="40" w:after="160"/>
        <w:pBdr>
          <w:bottom w:val="single" w:sz="8" w:space="1" w:color="2F6B70"/>
        </w:pBdr>
      </w:pPr>
    </w:p>
    <w:p>
      <w:r>
        <w:t>Before a serious large-scale rollout or SCF Build proposal, HarambeeOne should prove three things:</w:t>
      </w:r>
    </w:p>
    <w:p>
      <w:pPr>
        <w:pStyle w:val="ListNumber"/>
      </w:pPr>
      <w:r>
        <w:t>School adoption: bursars and school leaders find the finance/reconciliation workflow useful enough to pilot and eventually pay for.</w:t>
      </w:r>
    </w:p>
    <w:p>
      <w:pPr>
        <w:pStyle w:val="ListNumber"/>
      </w:pPr>
      <w:r>
        <w:t>Sponsor demand: at least one NGO, foundation, company or serious funder validates the beneficiary and programme-management workflow.</w:t>
      </w:r>
    </w:p>
    <w:p>
      <w:pPr>
        <w:pStyle w:val="ListNumber"/>
      </w:pPr>
      <w:r>
        <w:t>Settlement feasibility: an actual partner route can convert Stellar USDC to UGX and settle into the required Ugandan school bank or Mobile Money account with acceptable compliance, cost and reliability.</w:t>
      </w:r>
    </w:p>
    <w:p>
      <w:r>
        <w:t>A strong early evidence package would include school interviews, pilot letters, a working finance MVP, a Soroban testnet contract, an end-to-end test funding cycle and documented ramp/settlement partner discussions.</w:t>
      </w:r>
    </w:p>
    <w:p>
      <w:pPr>
        <w:pStyle w:val="Heading1"/>
      </w:pPr>
      <w:r>
        <w:t>24. Success Metrics</w:t>
      </w:r>
    </w:p>
    <w:p>
      <w:pPr>
        <w:spacing w:before="40" w:after="160"/>
        <w:pBdr>
          <w:bottom w:val="single" w:sz="8" w:space="1" w:color="2F6B70"/>
        </w:pBdr>
      </w:pPr>
    </w:p>
    <w:tbl>
      <w:tblPr>
        <w:tblStyle w:val="TableGrid"/>
        <w:tblW w:type="auto" w:w="0"/>
        <w:jc w:val="center"/>
        <w:tblLook w:firstColumn="1" w:firstRow="1" w:lastColumn="0" w:lastRow="0" w:noHBand="0" w:noVBand="1" w:val="04A0"/>
      </w:tblPr>
      <w:tblGrid>
        <w:gridCol w:w="4968"/>
        <w:gridCol w:w="4968"/>
      </w:tblGrid>
      <w:tr>
        <w:tc>
          <w:tcPr>
            <w:tcW w:type="dxa" w:w="4968"/>
            <w:shd w:fill="2F6B70"/>
          </w:tcPr>
          <w:p>
            <w:r>
              <w:rPr>
                <w:b/>
                <w:color w:val="FFFFFF"/>
              </w:rPr>
              <w:t>Commercial / school metrics</w:t>
            </w:r>
          </w:p>
        </w:tc>
        <w:tc>
          <w:tcPr>
            <w:tcW w:type="dxa" w:w="4968"/>
            <w:shd w:fill="2F6B70"/>
          </w:tcPr>
          <w:p>
            <w:r>
              <w:rPr>
                <w:b/>
                <w:color w:val="FFFFFF"/>
              </w:rPr>
              <w:t>Stellar / protocol metrics</w:t>
            </w:r>
          </w:p>
        </w:tc>
      </w:tr>
      <w:tr>
        <w:tc>
          <w:tcPr>
            <w:tcW w:type="dxa" w:w="4968"/>
          </w:tcPr>
          <w:p>
            <w:r>
              <w:t>Active schools</w:t>
            </w:r>
          </w:p>
        </w:tc>
        <w:tc>
          <w:tcPr>
            <w:tcW w:type="dxa" w:w="4968"/>
          </w:tcPr>
          <w:p>
            <w:r>
              <w:t>Programmes created on-chain</w:t>
            </w:r>
          </w:p>
        </w:tc>
      </w:tr>
      <w:tr>
        <w:tc>
          <w:tcPr>
            <w:tcW w:type="dxa" w:w="4968"/>
          </w:tcPr>
          <w:p>
            <w:r>
              <w:t>Students managed</w:t>
            </w:r>
          </w:p>
        </w:tc>
        <w:tc>
          <w:tcPr>
            <w:tcW w:type="dxa" w:w="4968"/>
          </w:tcPr>
          <w:p>
            <w:r>
              <w:t>USDC committed to programmes</w:t>
            </w:r>
          </w:p>
        </w:tc>
      </w:tr>
      <w:tr>
        <w:tc>
          <w:tcPr>
            <w:tcW w:type="dxa" w:w="4968"/>
          </w:tcPr>
          <w:p>
            <w:r>
              <w:t>Payments reconciled</w:t>
            </w:r>
          </w:p>
        </w:tc>
        <w:tc>
          <w:tcPr>
            <w:tcW w:type="dxa" w:w="4968"/>
          </w:tcPr>
          <w:p>
            <w:r>
              <w:t>USDC disbursed</w:t>
            </w:r>
          </w:p>
        </w:tc>
      </w:tr>
      <w:tr>
        <w:tc>
          <w:tcPr>
            <w:tcW w:type="dxa" w:w="4968"/>
          </w:tcPr>
          <w:p>
            <w:r>
              <w:t>Unmatched payments resolved</w:t>
            </w:r>
          </w:p>
        </w:tc>
        <w:tc>
          <w:tcPr>
            <w:tcW w:type="dxa" w:w="4968"/>
          </w:tcPr>
          <w:p>
            <w:r>
              <w:t>Beneficiary allocations</w:t>
            </w:r>
          </w:p>
        </w:tc>
      </w:tr>
      <w:tr>
        <w:tc>
          <w:tcPr>
            <w:tcW w:type="dxa" w:w="4968"/>
          </w:tcPr>
          <w:p>
            <w:r>
              <w:t>Paying schools</w:t>
            </w:r>
          </w:p>
        </w:tc>
        <w:tc>
          <w:tcPr>
            <w:tcW w:type="dxa" w:w="4968"/>
          </w:tcPr>
          <w:p>
            <w:r>
              <w:t>Soroban contract calls</w:t>
            </w:r>
          </w:p>
        </w:tc>
      </w:tr>
      <w:tr>
        <w:tc>
          <w:tcPr>
            <w:tcW w:type="dxa" w:w="4968"/>
          </w:tcPr>
          <w:p>
            <w:r>
              <w:t>Active sponsors</w:t>
            </w:r>
          </w:p>
        </w:tc>
        <w:tc>
          <w:tcPr>
            <w:tcW w:type="dxa" w:w="4968"/>
          </w:tcPr>
          <w:p>
            <w:r>
              <w:t>Repeat term funding</w:t>
            </w:r>
          </w:p>
        </w:tc>
      </w:tr>
      <w:tr>
        <w:tc>
          <w:tcPr>
            <w:tcW w:type="dxa" w:w="4968"/>
          </w:tcPr>
          <w:p>
            <w:r>
              <w:t>Parent SMS/USSD usage</w:t>
            </w:r>
          </w:p>
        </w:tc>
        <w:tc>
          <w:tcPr>
            <w:tcW w:type="dxa" w:w="4968"/>
          </w:tcPr>
          <w:p>
            <w:r>
              <w:t>Third-party protocol integrations</w:t>
            </w:r>
          </w:p>
        </w:tc>
      </w:tr>
    </w:tbl>
    <w:p>
      <w:pPr>
        <w:pStyle w:val="Heading1"/>
      </w:pPr>
      <w:r>
        <w:t>25. Final Product Definition</w:t>
      </w:r>
    </w:p>
    <w:p>
      <w:pPr>
        <w:spacing w:before="40" w:after="160"/>
        <w:pBdr>
          <w:bottom w:val="single" w:sz="8" w:space="1" w:color="2F6B70"/>
        </w:pBdr>
      </w:pPr>
    </w:p>
    <w:tbl>
      <w:tblPr>
        <w:tblW w:type="auto" w:w="0"/>
        <w:jc w:val="center"/>
        <w:tblLook w:firstColumn="1" w:firstRow="1" w:lastColumn="0" w:lastRow="0" w:noHBand="0" w:noVBand="1" w:val="04A0"/>
      </w:tblPr>
      <w:tblGrid>
        <w:gridCol w:w="9936"/>
      </w:tblGrid>
      <w:tr>
        <w:tc>
          <w:tcPr>
            <w:tcW w:type="dxa" w:w="9936"/>
            <w:shd w:fill="DDEBEC"/>
            <w:tcMar>
              <w:top w:w="140" w:type="dxa"/>
              <w:start w:w="180" w:type="dxa"/>
              <w:bottom w:w="140" w:type="dxa"/>
              <w:end w:w="180" w:type="dxa"/>
            </w:tcMar>
          </w:tcPr>
          <w:p>
            <w:r>
              <w:rPr>
                <w:b/>
                <w:color w:val="184348"/>
                <w:sz w:val="22"/>
              </w:rPr>
              <w:t>HarambeeOne in one sentence</w:t>
              <w:br/>
            </w:r>
            <w:r>
              <w:rPr>
                <w:sz w:val="21"/>
              </w:rPr>
              <w:t>HarambeeOne gives schools one financial record for every learner and gives sponsors a simple, programmable way to fund education—while parents and schools continue using the payment methods and local currency they already understand.</w:t>
            </w:r>
          </w:p>
        </w:tc>
      </w:tr>
    </w:tbl>
    <w:p>
      <w:pPr>
        <w:spacing w:after="20"/>
      </w:pPr>
    </w:p>
    <w:p>
      <w:r>
        <w:t>The system succeeds if the blockchain disappears from the user experience but remains meaningful in the infrastructure. A bursar should care that every payment is clear. A parent should care that their child’s balance is correct. A sponsor should care that funding follows agreed rules. A school should care that it receives UGX. Stellar matters because it can provide the programmable, reusable funding rail underneath structured programmes without forcing any of those users to become Web3 users.</w:t>
      </w:r>
    </w:p>
    <w:p>
      <w:pPr>
        <w:pStyle w:val="Heading1"/>
      </w:pPr>
      <w:r>
        <w:t>26. Architecture Principles to Carry Forward</w:t>
      </w:r>
    </w:p>
    <w:p>
      <w:pPr>
        <w:spacing w:before="40" w:after="160"/>
        <w:pBdr>
          <w:bottom w:val="single" w:sz="8" w:space="1" w:color="2F6B70"/>
        </w:pBdr>
      </w:pPr>
    </w:p>
    <w:p>
      <w:pPr>
        <w:pStyle w:val="ListBullet"/>
      </w:pPr>
      <w:r>
        <w:t>One source of financial truth: the student ledger.</w:t>
      </w:r>
    </w:p>
    <w:p>
      <w:pPr>
        <w:pStyle w:val="ListBullet"/>
      </w:pPr>
      <w:r>
        <w:t>Use familiar payment channels wherever they already work.</w:t>
      </w:r>
    </w:p>
    <w:p>
      <w:pPr>
        <w:pStyle w:val="ListBullet"/>
      </w:pPr>
      <w:r>
        <w:t>Use Stellar only where programmable value and shared trust add real benefit.</w:t>
      </w:r>
    </w:p>
    <w:p>
      <w:pPr>
        <w:pStyle w:val="ListBullet"/>
      </w:pPr>
      <w:r>
        <w:t>Keep private student data off-chain.</w:t>
      </w:r>
    </w:p>
    <w:p>
      <w:pPr>
        <w:pStyle w:val="ListBullet"/>
      </w:pPr>
      <w:r>
        <w:t>Separate funding asset from the school’s UGX obligation.</w:t>
      </w:r>
    </w:p>
    <w:p>
      <w:pPr>
        <w:pStyle w:val="ListBullet"/>
      </w:pPr>
      <w:r>
        <w:t>Do not mark a scholarship as paid until fiat settlement is confirmed.</w:t>
      </w:r>
    </w:p>
    <w:p>
      <w:pPr>
        <w:pStyle w:val="ListBullet"/>
      </w:pPr>
      <w:r>
        <w:t>AI assists; humans and deterministic rules remain responsible.</w:t>
      </w:r>
    </w:p>
    <w:p>
      <w:pPr>
        <w:pStyle w:val="ListBullet"/>
      </w:pPr>
      <w:r>
        <w:t>External providers are replaceable integrations, not core dependencies.</w:t>
      </w:r>
    </w:p>
    <w:p>
      <w:pPr>
        <w:pStyle w:val="ListBullet"/>
      </w:pPr>
      <w:r>
        <w:t>Open-source the reusable Stellar protocol; keep the school SaaS commercially sustainable.</w:t>
      </w:r>
    </w:p>
    <w:p>
      <w:pPr>
        <w:pStyle w:val="ListBullet"/>
      </w:pPr>
      <w:r>
        <w:t>Pilot narrowly, prove the last mile, then scale.</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HarambeeOne • Product &amp; Stellar Education Funding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4348"/>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5D6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D2D2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HarambeeOne Product &amp; Stellar Education Funding Documentation</dc:title>
  <dc:subject>School finance, sponsorship and programmable education funding</dc:subject>
  <dc:creator>HarambeeOne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