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b/>
          <w:color w:val="173F46"/>
          <w:sz w:val="68"/>
        </w:rPr>
        <w:t>HARAMBEEONE</w:t>
      </w:r>
    </w:p>
    <w:p>
      <w:pPr>
        <w:jc w:val="center"/>
      </w:pPr>
      <w:r>
        <w:rPr>
          <w:b/>
          <w:sz w:val="40"/>
        </w:rPr>
        <w:t>Product Requirements Document</w:t>
      </w:r>
    </w:p>
    <w:p>
      <w:pPr>
        <w:jc w:val="center"/>
      </w:pPr>
      <w:r>
        <w:rPr>
          <w:sz w:val="24"/>
        </w:rPr>
        <w:t>School finance, student administration and programmable education funding</w:t>
      </w:r>
    </w:p>
    <w:tbl>
      <w:tblPr>
        <w:tblW w:type="auto" w:w="0"/>
        <w:jc w:val="center"/>
        <w:tblLook w:firstColumn="1" w:firstRow="1" w:lastColumn="0" w:lastRow="0" w:noHBand="0" w:noVBand="1" w:val="04A0"/>
      </w:tblPr>
      <w:tblGrid>
        <w:gridCol w:w="10080"/>
      </w:tblGrid>
      <w:tr>
        <w:tc>
          <w:tcPr>
            <w:tcW w:type="dxa" w:w="10080"/>
            <w:shd w:fill="E9F3F2"/>
            <w:tcMar>
              <w:top w:w="120" w:type="dxa"/>
              <w:bottom w:w="120" w:type="dxa"/>
              <w:start w:w="160" w:type="dxa"/>
              <w:end w:w="160" w:type="dxa"/>
            </w:tcMar>
          </w:tcPr>
          <w:p>
            <w:r>
              <w:rPr>
                <w:b/>
                <w:color w:val="173F46"/>
              </w:rPr>
              <w:t>Product promise</w:t>
              <w:br/>
            </w:r>
            <w:r>
              <w:t>One reliable financial record for every learner, regardless of how education is paid for, with programmable sponsorship infrastructure underneath when Stellar adds real value.</w:t>
            </w:r>
          </w:p>
        </w:tc>
      </w:tr>
    </w:tbl>
    <w:p>
      <w:pPr>
        <w:spacing w:after="0"/>
      </w:pPr>
    </w:p>
    <w:p>
      <w:pPr>
        <w:spacing w:before="800"/>
        <w:jc w:val="center"/>
      </w:pPr>
      <w:r>
        <w:rPr>
          <w:i/>
        </w:rPr>
        <w:t>Status: Product definition for design, engineering, pilot planning and funding discussions</w:t>
      </w:r>
    </w:p>
    <w:p>
      <w:r>
        <w:br w:type="page"/>
      </w:r>
    </w:p>
    <w:p>
      <w:pPr>
        <w:pStyle w:val="Heading1"/>
      </w:pPr>
      <w:r>
        <w:t>1. Document Purpose</w:t>
      </w:r>
    </w:p>
    <w:p>
      <w:r>
        <w:t>This PRD defines what HarambeeOne is expected to do, who it serves, how the major workflows behave, what must remain outside the first release, and the technical, security, privacy and operational requirements needed to build it professionally. It is written so that a school owner, bursar, sponsor, product designer, engineer, security reviewer or funding partner can work from the same product definition.</w:t>
      </w:r>
    </w:p>
    <w:tbl>
      <w:tblPr>
        <w:tblW w:type="auto" w:w="0"/>
        <w:jc w:val="center"/>
        <w:tblLook w:firstColumn="1" w:firstRow="1" w:lastColumn="0" w:lastRow="0" w:noHBand="0" w:noVBand="1" w:val="04A0"/>
      </w:tblPr>
      <w:tblGrid>
        <w:gridCol w:w="10080"/>
      </w:tblGrid>
      <w:tr>
        <w:tc>
          <w:tcPr>
            <w:tcW w:type="dxa" w:w="10080"/>
            <w:shd w:fill="E9F3F2"/>
            <w:tcMar>
              <w:top w:w="120" w:type="dxa"/>
              <w:bottom w:w="120" w:type="dxa"/>
              <w:start w:w="160" w:type="dxa"/>
              <w:end w:w="160" w:type="dxa"/>
            </w:tcMar>
          </w:tcPr>
          <w:p>
            <w:r>
              <w:rPr>
                <w:b/>
                <w:color w:val="173F46"/>
              </w:rPr>
              <w:t>Scope rule</w:t>
              <w:br/>
            </w:r>
            <w:r>
              <w:t>HarambeeOne is Web2-first for school operations. Stellar is not forced into ordinary school payments. It is used for structured education funding where programmable control, multi-party trust or cross-border settlement creates a real advantage.</w:t>
            </w:r>
          </w:p>
        </w:tc>
      </w:tr>
    </w:tbl>
    <w:p>
      <w:pPr>
        <w:spacing w:after="0"/>
      </w:pPr>
    </w:p>
    <w:p>
      <w:pPr>
        <w:pStyle w:val="Heading1"/>
      </w:pPr>
      <w:r>
        <w:t>2. Product Overview</w:t>
      </w:r>
    </w:p>
    <w:p>
      <w:r>
        <w:t>HarambeeOne is a multi-tenant education finance platform for primary and secondary schools. It combines student registration, enrollment, school fee management, payment reconciliation, bursaries, sponsorships, approvals, reporting and parent visibility in one system.</w:t>
      </w:r>
    </w:p>
    <w:p>
      <w:r>
        <w:t>Its central object is the learner financial account. A learner may receive money from a parent through SchoolPay, a bank, Mobile Money or cash; from a school bursary; or from an NGO, company, foundation, diaspora group or individual sponsor. HarambeeOne keeps those contributions understandable in one ledger.</w:t>
      </w:r>
    </w:p>
    <w:p>
      <w:r>
        <w:t>For structured sponsorship programmes, HarambeeOne adds an optional Stellar layer. Programme value may be held or moved as USDC; Soroban contracts enforce agreed programme rules; the Stellar Disbursement Platform can support approved disbursements; and appropriate financial partners handle fiat on-ramp and off-ramp settlement. The school can still receive Uganda shillings.</w:t>
      </w:r>
    </w:p>
    <w:p>
      <w:pPr>
        <w:pStyle w:val="Heading1"/>
      </w:pPr>
      <w:r>
        <w:t>3. Product Vision and Objectives</w:t>
      </w:r>
    </w:p>
    <w:tbl>
      <w:tblPr>
        <w:tblStyle w:val="TableGrid"/>
        <w:tblW w:type="auto" w:w="0"/>
        <w:jc w:val="center"/>
        <w:tblLook w:firstColumn="1" w:firstRow="1" w:lastColumn="0" w:lastRow="0" w:noHBand="0" w:noVBand="1" w:val="04A0"/>
      </w:tblPr>
      <w:tblGrid>
        <w:gridCol w:w="5040"/>
        <w:gridCol w:w="5040"/>
      </w:tblGrid>
      <w:tr>
        <w:tc>
          <w:tcPr>
            <w:tcW w:type="dxa" w:w="5040"/>
            <w:shd w:fill="246A73"/>
            <w:tcMar>
              <w:top w:w="90" w:type="dxa"/>
              <w:bottom w:w="90" w:type="dxa"/>
              <w:start w:w="110" w:type="dxa"/>
              <w:end w:w="110" w:type="dxa"/>
            </w:tcMar>
          </w:tcPr>
          <w:p>
            <w:r>
              <w:rPr>
                <w:b/>
                <w:color w:val="FFFFFF"/>
              </w:rPr>
              <w:t>Objective</w:t>
            </w:r>
          </w:p>
        </w:tc>
        <w:tc>
          <w:tcPr>
            <w:tcW w:type="dxa" w:w="5040"/>
            <w:shd w:fill="246A73"/>
            <w:tcMar>
              <w:top w:w="90" w:type="dxa"/>
              <w:bottom w:w="90" w:type="dxa"/>
              <w:start w:w="110" w:type="dxa"/>
              <w:end w:w="110" w:type="dxa"/>
            </w:tcMar>
          </w:tcPr>
          <w:p>
            <w:r>
              <w:rPr>
                <w:b/>
                <w:color w:val="FFFFFF"/>
              </w:rPr>
              <w:t>Meaning in practice</w:t>
            </w:r>
          </w:p>
        </w:tc>
      </w:tr>
      <w:tr>
        <w:tc>
          <w:tcPr>
            <w:tcW w:type="dxa" w:w="5040"/>
            <w:tcMar>
              <w:top w:w="90" w:type="dxa"/>
              <w:bottom w:w="90" w:type="dxa"/>
              <w:start w:w="110" w:type="dxa"/>
              <w:end w:w="110" w:type="dxa"/>
            </w:tcMar>
            <w:vAlign w:val="top"/>
          </w:tcPr>
          <w:p>
            <w:r>
              <w:t>Make bursar work easier</w:t>
            </w:r>
          </w:p>
        </w:tc>
        <w:tc>
          <w:tcPr>
            <w:tcW w:type="dxa" w:w="5040"/>
            <w:tcMar>
              <w:top w:w="90" w:type="dxa"/>
              <w:bottom w:w="90" w:type="dxa"/>
              <w:start w:w="110" w:type="dxa"/>
              <w:end w:w="110" w:type="dxa"/>
            </w:tcMar>
            <w:vAlign w:val="top"/>
          </w:tcPr>
          <w:p>
            <w:r>
              <w:t>Reduce manual matching, scattered records, unexplained balances and repetitive reporting.</w:t>
            </w:r>
          </w:p>
        </w:tc>
      </w:tr>
      <w:tr>
        <w:tc>
          <w:tcPr>
            <w:tcW w:type="dxa" w:w="5040"/>
            <w:tcMar>
              <w:top w:w="90" w:type="dxa"/>
              <w:bottom w:w="90" w:type="dxa"/>
              <w:start w:w="110" w:type="dxa"/>
              <w:end w:w="110" w:type="dxa"/>
            </w:tcMar>
            <w:vAlign w:val="top"/>
          </w:tcPr>
          <w:p>
            <w:r>
              <w:t>Create one learner financial truth</w:t>
            </w:r>
          </w:p>
        </w:tc>
        <w:tc>
          <w:tcPr>
            <w:tcW w:type="dxa" w:w="5040"/>
            <w:tcMar>
              <w:top w:w="90" w:type="dxa"/>
              <w:bottom w:w="90" w:type="dxa"/>
              <w:start w:w="110" w:type="dxa"/>
              <w:end w:w="110" w:type="dxa"/>
            </w:tcMar>
            <w:vAlign w:val="top"/>
          </w:tcPr>
          <w:p>
            <w:r>
              <w:t>Every charge, payment, bursary, sponsorship, reversal and adjustment is traceable.</w:t>
            </w:r>
          </w:p>
        </w:tc>
      </w:tr>
      <w:tr>
        <w:tc>
          <w:tcPr>
            <w:tcW w:type="dxa" w:w="5040"/>
            <w:tcMar>
              <w:top w:w="90" w:type="dxa"/>
              <w:bottom w:w="90" w:type="dxa"/>
              <w:start w:w="110" w:type="dxa"/>
              <w:end w:w="110" w:type="dxa"/>
            </w:tcMar>
            <w:vAlign w:val="top"/>
          </w:tcPr>
          <w:p>
            <w:r>
              <w:t>Keep adoption low-friction</w:t>
            </w:r>
          </w:p>
        </w:tc>
        <w:tc>
          <w:tcPr>
            <w:tcW w:type="dxa" w:w="5040"/>
            <w:tcMar>
              <w:top w:w="90" w:type="dxa"/>
              <w:bottom w:w="90" w:type="dxa"/>
              <w:start w:w="110" w:type="dxa"/>
              <w:end w:w="110" w:type="dxa"/>
            </w:tcMar>
            <w:vAlign w:val="top"/>
          </w:tcPr>
          <w:p>
            <w:r>
              <w:t>Schools and parents continue using familiar payment channels and UGX.</w:t>
            </w:r>
          </w:p>
        </w:tc>
      </w:tr>
      <w:tr>
        <w:tc>
          <w:tcPr>
            <w:tcW w:type="dxa" w:w="5040"/>
            <w:tcMar>
              <w:top w:w="90" w:type="dxa"/>
              <w:bottom w:w="90" w:type="dxa"/>
              <w:start w:w="110" w:type="dxa"/>
              <w:end w:w="110" w:type="dxa"/>
            </w:tcMar>
            <w:vAlign w:val="top"/>
          </w:tcPr>
          <w:p>
            <w:r>
              <w:t>Make sponsorship manageable</w:t>
            </w:r>
          </w:p>
        </w:tc>
        <w:tc>
          <w:tcPr>
            <w:tcW w:type="dxa" w:w="5040"/>
            <w:tcMar>
              <w:top w:w="90" w:type="dxa"/>
              <w:bottom w:w="90" w:type="dxa"/>
              <w:start w:w="110" w:type="dxa"/>
              <w:end w:w="110" w:type="dxa"/>
            </w:tcMar>
            <w:vAlign w:val="top"/>
          </w:tcPr>
          <w:p>
            <w:r>
              <w:t>Funders can identify eligible learners, allocate support, monitor exceptions and prove settlement.</w:t>
            </w:r>
          </w:p>
        </w:tc>
      </w:tr>
      <w:tr>
        <w:tc>
          <w:tcPr>
            <w:tcW w:type="dxa" w:w="5040"/>
            <w:tcMar>
              <w:top w:w="90" w:type="dxa"/>
              <w:bottom w:w="90" w:type="dxa"/>
              <w:start w:w="110" w:type="dxa"/>
              <w:end w:w="110" w:type="dxa"/>
            </w:tcMar>
            <w:vAlign w:val="top"/>
          </w:tcPr>
          <w:p>
            <w:r>
              <w:t>Use Stellar meaningfully</w:t>
            </w:r>
          </w:p>
        </w:tc>
        <w:tc>
          <w:tcPr>
            <w:tcW w:type="dxa" w:w="5040"/>
            <w:tcMar>
              <w:top w:w="90" w:type="dxa"/>
              <w:bottom w:w="90" w:type="dxa"/>
              <w:start w:w="110" w:type="dxa"/>
              <w:end w:w="110" w:type="dxa"/>
            </w:tcMar>
            <w:vAlign w:val="top"/>
          </w:tcPr>
          <w:p>
            <w:r>
              <w:t>Programmable funding controls value; private school data stays off-chain.</w:t>
            </w:r>
          </w:p>
        </w:tc>
      </w:tr>
      <w:tr>
        <w:tc>
          <w:tcPr>
            <w:tcW w:type="dxa" w:w="5040"/>
            <w:tcMar>
              <w:top w:w="90" w:type="dxa"/>
              <w:bottom w:w="90" w:type="dxa"/>
              <w:start w:w="110" w:type="dxa"/>
              <w:end w:w="110" w:type="dxa"/>
            </w:tcMar>
            <w:vAlign w:val="top"/>
          </w:tcPr>
          <w:p>
            <w:r>
              <w:t>Protect children and institutions</w:t>
            </w:r>
          </w:p>
        </w:tc>
        <w:tc>
          <w:tcPr>
            <w:tcW w:type="dxa" w:w="5040"/>
            <w:tcMar>
              <w:top w:w="90" w:type="dxa"/>
              <w:bottom w:w="90" w:type="dxa"/>
              <w:start w:w="110" w:type="dxa"/>
              <w:end w:w="110" w:type="dxa"/>
            </w:tcMar>
            <w:vAlign w:val="top"/>
          </w:tcPr>
          <w:p>
            <w:r>
              <w:t>Privacy, least privilege, auditability and human oversight are product requirements, not add-ons.</w:t>
            </w:r>
          </w:p>
        </w:tc>
      </w:tr>
      <w:tr>
        <w:tc>
          <w:tcPr>
            <w:tcW w:type="dxa" w:w="5040"/>
            <w:tcMar>
              <w:top w:w="90" w:type="dxa"/>
              <w:bottom w:w="90" w:type="dxa"/>
              <w:start w:w="110" w:type="dxa"/>
              <w:end w:w="110" w:type="dxa"/>
            </w:tcMar>
            <w:vAlign w:val="top"/>
          </w:tcPr>
          <w:p>
            <w:r>
              <w:t>Build reusable infrastructure</w:t>
            </w:r>
          </w:p>
        </w:tc>
        <w:tc>
          <w:tcPr>
            <w:tcW w:type="dxa" w:w="5040"/>
            <w:tcMar>
              <w:top w:w="90" w:type="dxa"/>
              <w:bottom w:w="90" w:type="dxa"/>
              <w:start w:w="110" w:type="dxa"/>
              <w:end w:w="110" w:type="dxa"/>
            </w:tcMar>
            <w:vAlign w:val="top"/>
          </w:tcPr>
          <w:p>
            <w:r>
              <w:t>The Stellar education-funding protocol can be open-sourced and used outside HarambeeOne.</w:t>
            </w:r>
          </w:p>
        </w:tc>
      </w:tr>
    </w:tbl>
    <w:p>
      <w:pPr>
        <w:spacing w:after="20"/>
      </w:pPr>
    </w:p>
    <w:p>
      <w:pPr>
        <w:pStyle w:val="Heading1"/>
      </w:pPr>
      <w:r>
        <w:t>4. Target Users and Access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246A73"/>
            <w:tcMar>
              <w:top w:w="90" w:type="dxa"/>
              <w:bottom w:w="90" w:type="dxa"/>
              <w:start w:w="110" w:type="dxa"/>
              <w:end w:w="110" w:type="dxa"/>
            </w:tcMar>
          </w:tcPr>
          <w:p>
            <w:r>
              <w:rPr>
                <w:b/>
                <w:color w:val="FFFFFF"/>
              </w:rPr>
              <w:t>Role</w:t>
            </w:r>
          </w:p>
        </w:tc>
        <w:tc>
          <w:tcPr>
            <w:tcW w:type="dxa" w:w="3360"/>
            <w:shd w:fill="246A73"/>
            <w:tcMar>
              <w:top w:w="90" w:type="dxa"/>
              <w:bottom w:w="90" w:type="dxa"/>
              <w:start w:w="110" w:type="dxa"/>
              <w:end w:w="110" w:type="dxa"/>
            </w:tcMar>
          </w:tcPr>
          <w:p>
            <w:r>
              <w:rPr>
                <w:b/>
                <w:color w:val="FFFFFF"/>
              </w:rPr>
              <w:t>Primary access</w:t>
            </w:r>
          </w:p>
        </w:tc>
        <w:tc>
          <w:tcPr>
            <w:tcW w:type="dxa" w:w="3360"/>
            <w:shd w:fill="246A73"/>
            <w:tcMar>
              <w:top w:w="90" w:type="dxa"/>
              <w:bottom w:w="90" w:type="dxa"/>
              <w:start w:w="110" w:type="dxa"/>
              <w:end w:w="110" w:type="dxa"/>
            </w:tcMar>
          </w:tcPr>
          <w:p>
            <w:r>
              <w:rPr>
                <w:b/>
                <w:color w:val="FFFFFF"/>
              </w:rPr>
              <w:t>Main responsibilities</w:t>
            </w:r>
          </w:p>
        </w:tc>
      </w:tr>
      <w:tr>
        <w:tc>
          <w:tcPr>
            <w:tcW w:type="dxa" w:w="3360"/>
            <w:tcMar>
              <w:top w:w="90" w:type="dxa"/>
              <w:bottom w:w="90" w:type="dxa"/>
              <w:start w:w="110" w:type="dxa"/>
              <w:end w:w="110" w:type="dxa"/>
            </w:tcMar>
            <w:vAlign w:val="top"/>
          </w:tcPr>
          <w:p>
            <w:r>
              <w:t>Parent / Guardian</w:t>
            </w:r>
          </w:p>
        </w:tc>
        <w:tc>
          <w:tcPr>
            <w:tcW w:type="dxa" w:w="3360"/>
            <w:tcMar>
              <w:top w:w="90" w:type="dxa"/>
              <w:bottom w:w="90" w:type="dxa"/>
              <w:start w:w="110" w:type="dxa"/>
              <w:end w:w="110" w:type="dxa"/>
            </w:tcMar>
            <w:vAlign w:val="top"/>
          </w:tcPr>
          <w:p>
            <w:r>
              <w:t>Mobile web/app; SMS; future USSD</w:t>
            </w:r>
          </w:p>
        </w:tc>
        <w:tc>
          <w:tcPr>
            <w:tcW w:type="dxa" w:w="3360"/>
            <w:tcMar>
              <w:top w:w="90" w:type="dxa"/>
              <w:bottom w:w="90" w:type="dxa"/>
              <w:start w:w="110" w:type="dxa"/>
              <w:end w:w="110" w:type="dxa"/>
            </w:tcMar>
            <w:vAlign w:val="top"/>
          </w:tcPr>
          <w:p>
            <w:r>
              <w:t>View authorised child account, balances, payments, receipts and sponsorship status.</w:t>
            </w:r>
          </w:p>
        </w:tc>
      </w:tr>
      <w:tr>
        <w:tc>
          <w:tcPr>
            <w:tcW w:type="dxa" w:w="3360"/>
            <w:tcMar>
              <w:top w:w="90" w:type="dxa"/>
              <w:bottom w:w="90" w:type="dxa"/>
              <w:start w:w="110" w:type="dxa"/>
              <w:end w:w="110" w:type="dxa"/>
            </w:tcMar>
            <w:vAlign w:val="top"/>
          </w:tcPr>
          <w:p>
            <w:r>
              <w:t>Bursar / Finance Staff</w:t>
            </w:r>
          </w:p>
        </w:tc>
        <w:tc>
          <w:tcPr>
            <w:tcW w:type="dxa" w:w="3360"/>
            <w:tcMar>
              <w:top w:w="90" w:type="dxa"/>
              <w:bottom w:w="90" w:type="dxa"/>
              <w:start w:w="110" w:type="dxa"/>
              <w:end w:w="110" w:type="dxa"/>
            </w:tcMar>
            <w:vAlign w:val="top"/>
          </w:tcPr>
          <w:p>
            <w:r>
              <w:t>Web application on desktop/laptop</w:t>
            </w:r>
          </w:p>
        </w:tc>
        <w:tc>
          <w:tcPr>
            <w:tcW w:type="dxa" w:w="3360"/>
            <w:tcMar>
              <w:top w:w="90" w:type="dxa"/>
              <w:bottom w:w="90" w:type="dxa"/>
              <w:start w:w="110" w:type="dxa"/>
              <w:end w:w="110" w:type="dxa"/>
            </w:tcMar>
            <w:vAlign w:val="top"/>
          </w:tcPr>
          <w:p>
            <w:r>
              <w:t>Fees, payment imports, reconciliation, receipts, adjustments, arrears and reports.</w:t>
            </w:r>
          </w:p>
        </w:tc>
      </w:tr>
      <w:tr>
        <w:tc>
          <w:tcPr>
            <w:tcW w:type="dxa" w:w="3360"/>
            <w:tcMar>
              <w:top w:w="90" w:type="dxa"/>
              <w:bottom w:w="90" w:type="dxa"/>
              <w:start w:w="110" w:type="dxa"/>
              <w:end w:w="110" w:type="dxa"/>
            </w:tcMar>
            <w:vAlign w:val="top"/>
          </w:tcPr>
          <w:p>
            <w:r>
              <w:t>Registrar / School Admin</w:t>
            </w:r>
          </w:p>
        </w:tc>
        <w:tc>
          <w:tcPr>
            <w:tcW w:type="dxa" w:w="3360"/>
            <w:tcMar>
              <w:top w:w="90" w:type="dxa"/>
              <w:bottom w:w="90" w:type="dxa"/>
              <w:start w:w="110" w:type="dxa"/>
              <w:end w:w="110" w:type="dxa"/>
            </w:tcMar>
            <w:vAlign w:val="top"/>
          </w:tcPr>
          <w:p>
            <w:r>
              <w:t>Web application</w:t>
            </w:r>
          </w:p>
        </w:tc>
        <w:tc>
          <w:tcPr>
            <w:tcW w:type="dxa" w:w="3360"/>
            <w:tcMar>
              <w:top w:w="90" w:type="dxa"/>
              <w:bottom w:w="90" w:type="dxa"/>
              <w:start w:w="110" w:type="dxa"/>
              <w:end w:w="110" w:type="dxa"/>
            </w:tcMar>
            <w:vAlign w:val="top"/>
          </w:tcPr>
          <w:p>
            <w:r>
              <w:t>Student registration, enrollment, class/stream placement, guardians and documents.</w:t>
            </w:r>
          </w:p>
        </w:tc>
      </w:tr>
      <w:tr>
        <w:tc>
          <w:tcPr>
            <w:tcW w:type="dxa" w:w="3360"/>
            <w:tcMar>
              <w:top w:w="90" w:type="dxa"/>
              <w:bottom w:w="90" w:type="dxa"/>
              <w:start w:w="110" w:type="dxa"/>
              <w:end w:w="110" w:type="dxa"/>
            </w:tcMar>
            <w:vAlign w:val="top"/>
          </w:tcPr>
          <w:p>
            <w:r>
              <w:t>Head Teacher / Management</w:t>
            </w:r>
          </w:p>
        </w:tc>
        <w:tc>
          <w:tcPr>
            <w:tcW w:type="dxa" w:w="3360"/>
            <w:tcMar>
              <w:top w:w="90" w:type="dxa"/>
              <w:bottom w:w="90" w:type="dxa"/>
              <w:start w:w="110" w:type="dxa"/>
              <w:end w:w="110" w:type="dxa"/>
            </w:tcMar>
            <w:vAlign w:val="top"/>
          </w:tcPr>
          <w:p>
            <w:r>
              <w:t>Web; optional mobile approval view</w:t>
            </w:r>
          </w:p>
        </w:tc>
        <w:tc>
          <w:tcPr>
            <w:tcW w:type="dxa" w:w="3360"/>
            <w:tcMar>
              <w:top w:w="90" w:type="dxa"/>
              <w:bottom w:w="90" w:type="dxa"/>
              <w:start w:w="110" w:type="dxa"/>
              <w:end w:w="110" w:type="dxa"/>
            </w:tcMar>
            <w:vAlign w:val="top"/>
          </w:tcPr>
          <w:p>
            <w:r>
              <w:t>Operational oversight, reports, approvals and policy-controlled actions.</w:t>
            </w:r>
          </w:p>
        </w:tc>
      </w:tr>
      <w:tr>
        <w:tc>
          <w:tcPr>
            <w:tcW w:type="dxa" w:w="3360"/>
            <w:tcMar>
              <w:top w:w="90" w:type="dxa"/>
              <w:bottom w:w="90" w:type="dxa"/>
              <w:start w:w="110" w:type="dxa"/>
              <w:end w:w="110" w:type="dxa"/>
            </w:tcMar>
            <w:vAlign w:val="top"/>
          </w:tcPr>
          <w:p>
            <w:r>
              <w:t>School Owner / Board</w:t>
            </w:r>
          </w:p>
        </w:tc>
        <w:tc>
          <w:tcPr>
            <w:tcW w:type="dxa" w:w="3360"/>
            <w:tcMar>
              <w:top w:w="90" w:type="dxa"/>
              <w:bottom w:w="90" w:type="dxa"/>
              <w:start w:w="110" w:type="dxa"/>
              <w:end w:w="110" w:type="dxa"/>
            </w:tcMar>
            <w:vAlign w:val="top"/>
          </w:tcPr>
          <w:p>
            <w:r>
              <w:t>Web; optional mobile approval view</w:t>
            </w:r>
          </w:p>
        </w:tc>
        <w:tc>
          <w:tcPr>
            <w:tcW w:type="dxa" w:w="3360"/>
            <w:tcMar>
              <w:top w:w="90" w:type="dxa"/>
              <w:bottom w:w="90" w:type="dxa"/>
              <w:start w:w="110" w:type="dxa"/>
              <w:end w:w="110" w:type="dxa"/>
            </w:tcMar>
            <w:vAlign w:val="top"/>
          </w:tcPr>
          <w:p>
            <w:r>
              <w:t>Financial oversight, strategic reports and high-risk approvals.</w:t>
            </w:r>
          </w:p>
        </w:tc>
      </w:tr>
      <w:tr>
        <w:tc>
          <w:tcPr>
            <w:tcW w:type="dxa" w:w="3360"/>
            <w:tcMar>
              <w:top w:w="90" w:type="dxa"/>
              <w:bottom w:w="90" w:type="dxa"/>
              <w:start w:w="110" w:type="dxa"/>
              <w:end w:w="110" w:type="dxa"/>
            </w:tcMar>
            <w:vAlign w:val="top"/>
          </w:tcPr>
          <w:p>
            <w:r>
              <w:t>Sponsor / NGO / Funder</w:t>
            </w:r>
          </w:p>
        </w:tc>
        <w:tc>
          <w:tcPr>
            <w:tcW w:type="dxa" w:w="3360"/>
            <w:tcMar>
              <w:top w:w="90" w:type="dxa"/>
              <w:bottom w:w="90" w:type="dxa"/>
              <w:start w:w="110" w:type="dxa"/>
              <w:end w:w="110" w:type="dxa"/>
            </w:tcMar>
            <w:vAlign w:val="top"/>
          </w:tcPr>
          <w:p>
            <w:r>
              <w:t>Web dashboard; API for larger partners</w:t>
            </w:r>
          </w:p>
        </w:tc>
        <w:tc>
          <w:tcPr>
            <w:tcW w:type="dxa" w:w="3360"/>
            <w:tcMar>
              <w:top w:w="90" w:type="dxa"/>
              <w:bottom w:w="90" w:type="dxa"/>
              <w:start w:w="110" w:type="dxa"/>
              <w:end w:w="110" w:type="dxa"/>
            </w:tcMar>
            <w:vAlign w:val="top"/>
          </w:tcPr>
          <w:p>
            <w:r>
              <w:t>Programmes, beneficiary selection, funding, allocation, settlement and impact reports.</w:t>
            </w:r>
          </w:p>
        </w:tc>
      </w:tr>
      <w:tr>
        <w:tc>
          <w:tcPr>
            <w:tcW w:type="dxa" w:w="3360"/>
            <w:tcMar>
              <w:top w:w="90" w:type="dxa"/>
              <w:bottom w:w="90" w:type="dxa"/>
              <w:start w:w="110" w:type="dxa"/>
              <w:end w:w="110" w:type="dxa"/>
            </w:tcMar>
            <w:vAlign w:val="top"/>
          </w:tcPr>
          <w:p>
            <w:r>
              <w:t>Auditor</w:t>
            </w:r>
          </w:p>
        </w:tc>
        <w:tc>
          <w:tcPr>
            <w:tcW w:type="dxa" w:w="3360"/>
            <w:tcMar>
              <w:top w:w="90" w:type="dxa"/>
              <w:bottom w:w="90" w:type="dxa"/>
              <w:start w:w="110" w:type="dxa"/>
              <w:end w:w="110" w:type="dxa"/>
            </w:tcMar>
            <w:vAlign w:val="top"/>
          </w:tcPr>
          <w:p>
            <w:r>
              <w:t>Read-only secure web/export</w:t>
            </w:r>
          </w:p>
        </w:tc>
        <w:tc>
          <w:tcPr>
            <w:tcW w:type="dxa" w:w="3360"/>
            <w:tcMar>
              <w:top w:w="90" w:type="dxa"/>
              <w:bottom w:w="90" w:type="dxa"/>
              <w:start w:w="110" w:type="dxa"/>
              <w:end w:w="110" w:type="dxa"/>
            </w:tcMar>
            <w:vAlign w:val="top"/>
          </w:tcPr>
          <w:p>
            <w:r>
              <w:t>Trace financial history and supporting evidence.</w:t>
            </w:r>
          </w:p>
        </w:tc>
      </w:tr>
      <w:tr>
        <w:tc>
          <w:tcPr>
            <w:tcW w:type="dxa" w:w="3360"/>
            <w:tcMar>
              <w:top w:w="90" w:type="dxa"/>
              <w:bottom w:w="90" w:type="dxa"/>
              <w:start w:w="110" w:type="dxa"/>
              <w:end w:w="110" w:type="dxa"/>
            </w:tcMar>
            <w:vAlign w:val="top"/>
          </w:tcPr>
          <w:p>
            <w:r>
              <w:t>Regulator / Ministry</w:t>
            </w:r>
          </w:p>
        </w:tc>
        <w:tc>
          <w:tcPr>
            <w:tcW w:type="dxa" w:w="3360"/>
            <w:tcMar>
              <w:top w:w="90" w:type="dxa"/>
              <w:bottom w:w="90" w:type="dxa"/>
              <w:start w:w="110" w:type="dxa"/>
              <w:end w:w="110" w:type="dxa"/>
            </w:tcMar>
            <w:vAlign w:val="top"/>
          </w:tcPr>
          <w:p>
            <w:r>
              <w:t>Read-only reporting/API only when formally permitted</w:t>
            </w:r>
          </w:p>
        </w:tc>
        <w:tc>
          <w:tcPr>
            <w:tcW w:type="dxa" w:w="3360"/>
            <w:tcMar>
              <w:top w:w="90" w:type="dxa"/>
              <w:bottom w:w="90" w:type="dxa"/>
              <w:start w:w="110" w:type="dxa"/>
              <w:end w:w="110" w:type="dxa"/>
            </w:tcMar>
            <w:vAlign w:val="top"/>
          </w:tcPr>
          <w:p>
            <w:r>
              <w:t>Authorised reporting and interoperability; no routine operational editing.</w:t>
            </w:r>
          </w:p>
        </w:tc>
      </w:tr>
      <w:tr>
        <w:tc>
          <w:tcPr>
            <w:tcW w:type="dxa" w:w="3360"/>
            <w:tcMar>
              <w:top w:w="90" w:type="dxa"/>
              <w:bottom w:w="90" w:type="dxa"/>
              <w:start w:w="110" w:type="dxa"/>
              <w:end w:w="110" w:type="dxa"/>
            </w:tcMar>
            <w:vAlign w:val="top"/>
          </w:tcPr>
          <w:p>
            <w:r>
              <w:t>Platform Operations</w:t>
            </w:r>
          </w:p>
        </w:tc>
        <w:tc>
          <w:tcPr>
            <w:tcW w:type="dxa" w:w="3360"/>
            <w:tcMar>
              <w:top w:w="90" w:type="dxa"/>
              <w:bottom w:w="90" w:type="dxa"/>
              <w:start w:w="110" w:type="dxa"/>
              <w:end w:w="110" w:type="dxa"/>
            </w:tcMar>
            <w:vAlign w:val="top"/>
          </w:tcPr>
          <w:p>
            <w:r>
              <w:t>Restricted administration console</w:t>
            </w:r>
          </w:p>
        </w:tc>
        <w:tc>
          <w:tcPr>
            <w:tcW w:type="dxa" w:w="3360"/>
            <w:tcMar>
              <w:top w:w="90" w:type="dxa"/>
              <w:bottom w:w="90" w:type="dxa"/>
              <w:start w:w="110" w:type="dxa"/>
              <w:end w:w="110" w:type="dxa"/>
            </w:tcMar>
            <w:vAlign w:val="top"/>
          </w:tcPr>
          <w:p>
            <w:r>
              <w:t>Tenant support, incident handling, integration health and controlled configuration.</w:t>
            </w:r>
          </w:p>
        </w:tc>
      </w:tr>
      <w:tr>
        <w:tc>
          <w:tcPr>
            <w:tcW w:type="dxa" w:w="3360"/>
            <w:tcMar>
              <w:top w:w="90" w:type="dxa"/>
              <w:bottom w:w="90" w:type="dxa"/>
              <w:start w:w="110" w:type="dxa"/>
              <w:end w:w="110" w:type="dxa"/>
            </w:tcMar>
            <w:vAlign w:val="top"/>
          </w:tcPr>
          <w:p>
            <w:r>
              <w:t>Developer / Integration Partner</w:t>
            </w:r>
          </w:p>
        </w:tc>
        <w:tc>
          <w:tcPr>
            <w:tcW w:type="dxa" w:w="3360"/>
            <w:tcMar>
              <w:top w:w="90" w:type="dxa"/>
              <w:bottom w:w="90" w:type="dxa"/>
              <w:start w:w="110" w:type="dxa"/>
              <w:end w:w="110" w:type="dxa"/>
            </w:tcMar>
            <w:vAlign w:val="top"/>
          </w:tcPr>
          <w:p>
            <w:r>
              <w:t>API / sandbox</w:t>
            </w:r>
          </w:p>
        </w:tc>
        <w:tc>
          <w:tcPr>
            <w:tcW w:type="dxa" w:w="3360"/>
            <w:tcMar>
              <w:top w:w="90" w:type="dxa"/>
              <w:bottom w:w="90" w:type="dxa"/>
              <w:start w:w="110" w:type="dxa"/>
              <w:end w:w="110" w:type="dxa"/>
            </w:tcMar>
            <w:vAlign w:val="top"/>
          </w:tcPr>
          <w:p>
            <w:r>
              <w:t>Approved integrations without direct database access.</w:t>
            </w:r>
          </w:p>
        </w:tc>
      </w:tr>
    </w:tbl>
    <w:p>
      <w:pPr>
        <w:spacing w:after="20"/>
      </w:pPr>
    </w:p>
    <w:p>
      <w:r>
        <w:t>SMS and USSD are not staff interfaces. SMS is used for receipts, alerts and verification. USSD is a later accessibility channel for parents/guardians who do not have smartphones or reliable data access.</w:t>
      </w:r>
    </w:p>
    <w:p>
      <w:pPr>
        <w:pStyle w:val="Heading1"/>
      </w:pPr>
      <w:r>
        <w:t>5. Core Product Modules</w:t>
      </w:r>
    </w:p>
    <w:tbl>
      <w:tblPr>
        <w:tblStyle w:val="TableGrid"/>
        <w:tblW w:type="auto" w:w="0"/>
        <w:jc w:val="center"/>
        <w:tblLook w:firstColumn="1" w:firstRow="1" w:lastColumn="0" w:lastRow="0" w:noHBand="0" w:noVBand="1" w:val="04A0"/>
      </w:tblPr>
      <w:tblGrid>
        <w:gridCol w:w="5040"/>
        <w:gridCol w:w="5040"/>
      </w:tblGrid>
      <w:tr>
        <w:tc>
          <w:tcPr>
            <w:tcW w:type="dxa" w:w="5040"/>
            <w:shd w:fill="246A73"/>
            <w:tcMar>
              <w:top w:w="90" w:type="dxa"/>
              <w:bottom w:w="90" w:type="dxa"/>
              <w:start w:w="110" w:type="dxa"/>
              <w:end w:w="110" w:type="dxa"/>
            </w:tcMar>
          </w:tcPr>
          <w:p>
            <w:r>
              <w:rPr>
                <w:b/>
                <w:color w:val="FFFFFF"/>
              </w:rPr>
              <w:t>Module</w:t>
            </w:r>
          </w:p>
        </w:tc>
        <w:tc>
          <w:tcPr>
            <w:tcW w:type="dxa" w:w="5040"/>
            <w:shd w:fill="246A73"/>
            <w:tcMar>
              <w:top w:w="90" w:type="dxa"/>
              <w:bottom w:w="90" w:type="dxa"/>
              <w:start w:w="110" w:type="dxa"/>
              <w:end w:w="110" w:type="dxa"/>
            </w:tcMar>
          </w:tcPr>
          <w:p>
            <w:r>
              <w:rPr>
                <w:b/>
                <w:color w:val="FFFFFF"/>
              </w:rPr>
              <w:t>Responsibility</w:t>
            </w:r>
          </w:p>
        </w:tc>
      </w:tr>
      <w:tr>
        <w:tc>
          <w:tcPr>
            <w:tcW w:type="dxa" w:w="5040"/>
            <w:tcMar>
              <w:top w:w="90" w:type="dxa"/>
              <w:bottom w:w="90" w:type="dxa"/>
              <w:start w:w="110" w:type="dxa"/>
              <w:end w:w="110" w:type="dxa"/>
            </w:tcMar>
            <w:vAlign w:val="top"/>
          </w:tcPr>
          <w:p>
            <w:r>
              <w:t>Student Management</w:t>
            </w:r>
          </w:p>
        </w:tc>
        <w:tc>
          <w:tcPr>
            <w:tcW w:type="dxa" w:w="5040"/>
            <w:tcMar>
              <w:top w:w="90" w:type="dxa"/>
              <w:bottom w:w="90" w:type="dxa"/>
              <w:start w:w="110" w:type="dxa"/>
              <w:end w:w="110" w:type="dxa"/>
            </w:tcMar>
            <w:vAlign w:val="top"/>
          </w:tcPr>
          <w:p>
            <w:r>
              <w:t>Registration, profiles, admission number, guardian links, enrollment status, documents, student identifiers and transfer/exit history.</w:t>
            </w:r>
          </w:p>
        </w:tc>
      </w:tr>
      <w:tr>
        <w:tc>
          <w:tcPr>
            <w:tcW w:type="dxa" w:w="5040"/>
            <w:tcMar>
              <w:top w:w="90" w:type="dxa"/>
              <w:bottom w:w="90" w:type="dxa"/>
              <w:start w:w="110" w:type="dxa"/>
              <w:end w:w="110" w:type="dxa"/>
            </w:tcMar>
            <w:vAlign w:val="top"/>
          </w:tcPr>
          <w:p>
            <w:r>
              <w:t>Academic Structure</w:t>
            </w:r>
          </w:p>
        </w:tc>
        <w:tc>
          <w:tcPr>
            <w:tcW w:type="dxa" w:w="5040"/>
            <w:tcMar>
              <w:top w:w="90" w:type="dxa"/>
              <w:bottom w:w="90" w:type="dxa"/>
              <w:start w:w="110" w:type="dxa"/>
              <w:end w:w="110" w:type="dxa"/>
            </w:tcMar>
            <w:vAlign w:val="top"/>
          </w:tcPr>
          <w:p>
            <w:r>
              <w:t>School sections, levels, classes, streams, academic years, terms and the minimum academic context required for finance.</w:t>
            </w:r>
          </w:p>
        </w:tc>
      </w:tr>
      <w:tr>
        <w:tc>
          <w:tcPr>
            <w:tcW w:type="dxa" w:w="5040"/>
            <w:tcMar>
              <w:top w:w="90" w:type="dxa"/>
              <w:bottom w:w="90" w:type="dxa"/>
              <w:start w:w="110" w:type="dxa"/>
              <w:end w:w="110" w:type="dxa"/>
            </w:tcMar>
            <w:vAlign w:val="top"/>
          </w:tcPr>
          <w:p>
            <w:r>
              <w:t>Financial Management</w:t>
            </w:r>
          </w:p>
        </w:tc>
        <w:tc>
          <w:tcPr>
            <w:tcW w:type="dxa" w:w="5040"/>
            <w:tcMar>
              <w:top w:w="90" w:type="dxa"/>
              <w:bottom w:w="90" w:type="dxa"/>
              <w:start w:w="110" w:type="dxa"/>
              <w:end w:w="110" w:type="dxa"/>
            </w:tcMar>
            <w:vAlign w:val="top"/>
          </w:tcPr>
          <w:p>
            <w:r>
              <w:t>Fee structures, charges, invoices, learner ledgers, balances, arrears, bursaries, waivers, refunds and approved adjustments.</w:t>
            </w:r>
          </w:p>
        </w:tc>
      </w:tr>
      <w:tr>
        <w:tc>
          <w:tcPr>
            <w:tcW w:type="dxa" w:w="5040"/>
            <w:tcMar>
              <w:top w:w="90" w:type="dxa"/>
              <w:bottom w:w="90" w:type="dxa"/>
              <w:start w:w="110" w:type="dxa"/>
              <w:end w:w="110" w:type="dxa"/>
            </w:tcMar>
            <w:vAlign w:val="top"/>
          </w:tcPr>
          <w:p>
            <w:r>
              <w:t>Payment Reconciliation</w:t>
            </w:r>
          </w:p>
        </w:tc>
        <w:tc>
          <w:tcPr>
            <w:tcW w:type="dxa" w:w="5040"/>
            <w:tcMar>
              <w:top w:w="90" w:type="dxa"/>
              <w:bottom w:w="90" w:type="dxa"/>
              <w:start w:w="110" w:type="dxa"/>
              <w:end w:w="110" w:type="dxa"/>
            </w:tcMar>
            <w:vAlign w:val="top"/>
          </w:tcPr>
          <w:p>
            <w:r>
              <w:t>Payment imports, automatic matching suggestions, manual matching, split payments, sibling allocation, duplicates, reversals and exceptions.</w:t>
            </w:r>
          </w:p>
        </w:tc>
      </w:tr>
      <w:tr>
        <w:tc>
          <w:tcPr>
            <w:tcW w:type="dxa" w:w="5040"/>
            <w:tcMar>
              <w:top w:w="90" w:type="dxa"/>
              <w:bottom w:w="90" w:type="dxa"/>
              <w:start w:w="110" w:type="dxa"/>
              <w:end w:w="110" w:type="dxa"/>
            </w:tcMar>
            <w:vAlign w:val="top"/>
          </w:tcPr>
          <w:p>
            <w:r>
              <w:t>Sponsorship Management</w:t>
            </w:r>
          </w:p>
        </w:tc>
        <w:tc>
          <w:tcPr>
            <w:tcW w:type="dxa" w:w="5040"/>
            <w:tcMar>
              <w:top w:w="90" w:type="dxa"/>
              <w:bottom w:w="90" w:type="dxa"/>
              <w:start w:w="110" w:type="dxa"/>
              <w:end w:w="110" w:type="dxa"/>
            </w:tcMar>
            <w:vAlign w:val="top"/>
          </w:tcPr>
          <w:p>
            <w:r>
              <w:t>Sponsor programmes, eligibility, beneficiary resolution, allocations, disbursement tracking, settlement and impact reporting.</w:t>
            </w:r>
          </w:p>
        </w:tc>
      </w:tr>
      <w:tr>
        <w:tc>
          <w:tcPr>
            <w:tcW w:type="dxa" w:w="5040"/>
            <w:tcMar>
              <w:top w:w="90" w:type="dxa"/>
              <w:bottom w:w="90" w:type="dxa"/>
              <w:start w:w="110" w:type="dxa"/>
              <w:end w:w="110" w:type="dxa"/>
            </w:tcMar>
            <w:vAlign w:val="top"/>
          </w:tcPr>
          <w:p>
            <w:r>
              <w:t>Governance &amp; Approvals</w:t>
            </w:r>
          </w:p>
        </w:tc>
        <w:tc>
          <w:tcPr>
            <w:tcW w:type="dxa" w:w="5040"/>
            <w:tcMar>
              <w:top w:w="90" w:type="dxa"/>
              <w:bottom w:w="90" w:type="dxa"/>
              <w:start w:w="110" w:type="dxa"/>
              <w:end w:w="110" w:type="dxa"/>
            </w:tcMar>
            <w:vAlign w:val="top"/>
          </w:tcPr>
          <w:p>
            <w:r>
              <w:t>Configurable approval policies for sensitive financial actions; audit trail of decisions.</w:t>
            </w:r>
          </w:p>
        </w:tc>
      </w:tr>
      <w:tr>
        <w:tc>
          <w:tcPr>
            <w:tcW w:type="dxa" w:w="5040"/>
            <w:tcMar>
              <w:top w:w="90" w:type="dxa"/>
              <w:bottom w:w="90" w:type="dxa"/>
              <w:start w:w="110" w:type="dxa"/>
              <w:end w:w="110" w:type="dxa"/>
            </w:tcMar>
            <w:vAlign w:val="top"/>
          </w:tcPr>
          <w:p>
            <w:r>
              <w:t>Communication</w:t>
            </w:r>
          </w:p>
        </w:tc>
        <w:tc>
          <w:tcPr>
            <w:tcW w:type="dxa" w:w="5040"/>
            <w:tcMar>
              <w:top w:w="90" w:type="dxa"/>
              <w:bottom w:w="90" w:type="dxa"/>
              <w:start w:w="110" w:type="dxa"/>
              <w:end w:w="110" w:type="dxa"/>
            </w:tcMar>
            <w:vAlign w:val="top"/>
          </w:tcPr>
          <w:p>
            <w:r>
              <w:t>Receipts, alerts, reminders, email, SMS and in-app messages.</w:t>
            </w:r>
          </w:p>
        </w:tc>
      </w:tr>
      <w:tr>
        <w:tc>
          <w:tcPr>
            <w:tcW w:type="dxa" w:w="5040"/>
            <w:tcMar>
              <w:top w:w="90" w:type="dxa"/>
              <w:bottom w:w="90" w:type="dxa"/>
              <w:start w:w="110" w:type="dxa"/>
              <w:end w:w="110" w:type="dxa"/>
            </w:tcMar>
            <w:vAlign w:val="top"/>
          </w:tcPr>
          <w:p>
            <w:r>
              <w:t>Reports &amp; Analytics</w:t>
            </w:r>
          </w:p>
        </w:tc>
        <w:tc>
          <w:tcPr>
            <w:tcW w:type="dxa" w:w="5040"/>
            <w:tcMar>
              <w:top w:w="90" w:type="dxa"/>
              <w:bottom w:w="90" w:type="dxa"/>
              <w:start w:w="110" w:type="dxa"/>
              <w:end w:w="110" w:type="dxa"/>
            </w:tcMar>
            <w:vAlign w:val="top"/>
          </w:tcPr>
          <w:p>
            <w:r>
              <w:t>Collections, arrears, reconciliation exceptions, bursaries, sponsor reports, school dashboards and exportable statements.</w:t>
            </w:r>
          </w:p>
        </w:tc>
      </w:tr>
      <w:tr>
        <w:tc>
          <w:tcPr>
            <w:tcW w:type="dxa" w:w="5040"/>
            <w:tcMar>
              <w:top w:w="90" w:type="dxa"/>
              <w:bottom w:w="90" w:type="dxa"/>
              <w:start w:w="110" w:type="dxa"/>
              <w:end w:w="110" w:type="dxa"/>
            </w:tcMar>
            <w:vAlign w:val="top"/>
          </w:tcPr>
          <w:p>
            <w:r>
              <w:t>AI &amp; Intelligence</w:t>
            </w:r>
          </w:p>
        </w:tc>
        <w:tc>
          <w:tcPr>
            <w:tcW w:type="dxa" w:w="5040"/>
            <w:tcMar>
              <w:top w:w="90" w:type="dxa"/>
              <w:bottom w:w="90" w:type="dxa"/>
              <w:start w:w="110" w:type="dxa"/>
              <w:end w:w="110" w:type="dxa"/>
            </w:tcMar>
            <w:vAlign w:val="top"/>
          </w:tcPr>
          <w:p>
            <w:r>
              <w:t>Payment matching assistance, anomaly flags, permission-aware natural-language explanations and support.</w:t>
            </w:r>
          </w:p>
        </w:tc>
      </w:tr>
      <w:tr>
        <w:tc>
          <w:tcPr>
            <w:tcW w:type="dxa" w:w="5040"/>
            <w:tcMar>
              <w:top w:w="90" w:type="dxa"/>
              <w:bottom w:w="90" w:type="dxa"/>
              <w:start w:w="110" w:type="dxa"/>
              <w:end w:w="110" w:type="dxa"/>
            </w:tcMar>
            <w:vAlign w:val="top"/>
          </w:tcPr>
          <w:p>
            <w:r>
              <w:t>Settlement Gateway</w:t>
            </w:r>
          </w:p>
        </w:tc>
        <w:tc>
          <w:tcPr>
            <w:tcW w:type="dxa" w:w="5040"/>
            <w:tcMar>
              <w:top w:w="90" w:type="dxa"/>
              <w:bottom w:w="90" w:type="dxa"/>
              <w:start w:w="110" w:type="dxa"/>
              <w:end w:w="110" w:type="dxa"/>
            </w:tcMar>
            <w:vAlign w:val="top"/>
          </w:tcPr>
          <w:p>
            <w:r>
              <w:t>Provider abstraction for fiat/on-chain quotes, on-ramp/off-ramp state, settlement references and reconciliation.</w:t>
            </w:r>
          </w:p>
        </w:tc>
      </w:tr>
    </w:tbl>
    <w:p>
      <w:pPr>
        <w:spacing w:after="20"/>
      </w:pPr>
    </w:p>
    <w:p>
      <w:pPr>
        <w:pStyle w:val="Heading1"/>
      </w:pPr>
      <w:r>
        <w:t>6. School Structure and Student Model</w:t>
      </w:r>
    </w:p>
    <w:p>
      <w:r>
        <w:t>HarambeeOne must support different school structures without hard-coding one school’s terminology. A school configures its sections and progression model.</w:t>
      </w:r>
    </w:p>
    <w:p>
      <w:pPr>
        <w:pStyle w:val="ListBullet"/>
      </w:pPr>
      <w:r>
        <w:t>Possible sections include kindergarten/nursery, lower primary, upper primary, O-Level and A-Level.</w:t>
      </w:r>
    </w:p>
    <w:p>
      <w:pPr>
        <w:pStyle w:val="ListBullet"/>
      </w:pPr>
      <w:r>
        <w:t>Classes may include Baby/Middle/Top class, P1-P7, S1-S4 and S5-S6, but labels remain configurable.</w:t>
      </w:r>
    </w:p>
    <w:p>
      <w:pPr>
        <w:pStyle w:val="ListBullet"/>
      </w:pPr>
      <w:r>
        <w:t>A class may contain one or many streams, such as S2 East, S2 West or P5 Blue.</w:t>
      </w:r>
    </w:p>
    <w:p>
      <w:pPr>
        <w:pStyle w:val="ListBullet"/>
      </w:pPr>
      <w:r>
        <w:t>Enrollment is time-bound to academic year and term, so historical class placement is never overwritten.</w:t>
      </w:r>
    </w:p>
    <w:p>
      <w:pPr>
        <w:pStyle w:val="ListBullet"/>
      </w:pPr>
      <w:r>
        <w:t>A learner can transfer, withdraw, graduate, repeat or change stream while keeping one persistent financial history.</w:t>
      </w:r>
    </w:p>
    <w:p>
      <w:pPr>
        <w:pStyle w:val="ListBullet"/>
      </w:pPr>
      <w:r>
        <w:t>Guardians can be linked to multiple learners and a learner can have multiple authorised guardians.</w:t>
      </w:r>
    </w:p>
    <w:p>
      <w:pPr>
        <w:pStyle w:val="Heading1"/>
      </w:pPr>
      <w:r>
        <w:t>7. Student Financial Ledger</w:t>
      </w:r>
    </w:p>
    <w:p>
      <w:r>
        <w:t>The ledger is the authoritative financial record. The application must never treat a mutable balance field as the complete financial truth. The displayed balance is derived from traceable ledger entries.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246A73"/>
            <w:tcMar>
              <w:top w:w="90" w:type="dxa"/>
              <w:bottom w:w="90" w:type="dxa"/>
              <w:start w:w="110" w:type="dxa"/>
              <w:end w:w="110" w:type="dxa"/>
            </w:tcMar>
          </w:tcPr>
          <w:p>
            <w:r>
              <w:rPr>
                <w:b/>
                <w:color w:val="FFFFFF"/>
              </w:rPr>
              <w:t>Entry type</w:t>
            </w:r>
          </w:p>
        </w:tc>
        <w:tc>
          <w:tcPr>
            <w:tcW w:type="dxa" w:w="3360"/>
            <w:shd w:fill="246A73"/>
            <w:tcMar>
              <w:top w:w="90" w:type="dxa"/>
              <w:bottom w:w="90" w:type="dxa"/>
              <w:start w:w="110" w:type="dxa"/>
              <w:end w:w="110" w:type="dxa"/>
            </w:tcMar>
          </w:tcPr>
          <w:p>
            <w:r>
              <w:rPr>
                <w:b/>
                <w:color w:val="FFFFFF"/>
              </w:rPr>
              <w:t>Example</w:t>
            </w:r>
          </w:p>
        </w:tc>
        <w:tc>
          <w:tcPr>
            <w:tcW w:type="dxa" w:w="3360"/>
            <w:shd w:fill="246A73"/>
            <w:tcMar>
              <w:top w:w="90" w:type="dxa"/>
              <w:bottom w:w="90" w:type="dxa"/>
              <w:start w:w="110" w:type="dxa"/>
              <w:end w:w="110" w:type="dxa"/>
            </w:tcMar>
          </w:tcPr>
          <w:p>
            <w:r>
              <w:rPr>
                <w:b/>
                <w:color w:val="FFFFFF"/>
              </w:rPr>
              <w:t>Effect</w:t>
            </w:r>
          </w:p>
        </w:tc>
      </w:tr>
      <w:tr>
        <w:tc>
          <w:tcPr>
            <w:tcW w:type="dxa" w:w="3360"/>
            <w:tcMar>
              <w:top w:w="90" w:type="dxa"/>
              <w:bottom w:w="90" w:type="dxa"/>
              <w:start w:w="110" w:type="dxa"/>
              <w:end w:w="110" w:type="dxa"/>
            </w:tcMar>
            <w:vAlign w:val="top"/>
          </w:tcPr>
          <w:p>
            <w:r>
              <w:t>Charge</w:t>
            </w:r>
          </w:p>
        </w:tc>
        <w:tc>
          <w:tcPr>
            <w:tcW w:type="dxa" w:w="3360"/>
            <w:tcMar>
              <w:top w:w="90" w:type="dxa"/>
              <w:bottom w:w="90" w:type="dxa"/>
              <w:start w:w="110" w:type="dxa"/>
              <w:end w:w="110" w:type="dxa"/>
            </w:tcMar>
            <w:vAlign w:val="top"/>
          </w:tcPr>
          <w:p>
            <w:r>
              <w:t>Term II tuition</w:t>
            </w:r>
          </w:p>
        </w:tc>
        <w:tc>
          <w:tcPr>
            <w:tcW w:type="dxa" w:w="3360"/>
            <w:tcMar>
              <w:top w:w="90" w:type="dxa"/>
              <w:bottom w:w="90" w:type="dxa"/>
              <w:start w:w="110" w:type="dxa"/>
              <w:end w:w="110" w:type="dxa"/>
            </w:tcMar>
            <w:vAlign w:val="top"/>
          </w:tcPr>
          <w:p>
            <w:r>
              <w:t>Increases amount owed</w:t>
            </w:r>
          </w:p>
        </w:tc>
      </w:tr>
      <w:tr>
        <w:tc>
          <w:tcPr>
            <w:tcW w:type="dxa" w:w="3360"/>
            <w:tcMar>
              <w:top w:w="90" w:type="dxa"/>
              <w:bottom w:w="90" w:type="dxa"/>
              <w:start w:w="110" w:type="dxa"/>
              <w:end w:w="110" w:type="dxa"/>
            </w:tcMar>
            <w:vAlign w:val="top"/>
          </w:tcPr>
          <w:p>
            <w:r>
              <w:t>Payment</w:t>
            </w:r>
          </w:p>
        </w:tc>
        <w:tc>
          <w:tcPr>
            <w:tcW w:type="dxa" w:w="3360"/>
            <w:tcMar>
              <w:top w:w="90" w:type="dxa"/>
              <w:bottom w:w="90" w:type="dxa"/>
              <w:start w:w="110" w:type="dxa"/>
              <w:end w:w="110" w:type="dxa"/>
            </w:tcMar>
            <w:vAlign w:val="top"/>
          </w:tcPr>
          <w:p>
            <w:r>
              <w:t>SchoolPay / bank / MoMo / cash</w:t>
            </w:r>
          </w:p>
        </w:tc>
        <w:tc>
          <w:tcPr>
            <w:tcW w:type="dxa" w:w="3360"/>
            <w:tcMar>
              <w:top w:w="90" w:type="dxa"/>
              <w:bottom w:w="90" w:type="dxa"/>
              <w:start w:w="110" w:type="dxa"/>
              <w:end w:w="110" w:type="dxa"/>
            </w:tcMar>
            <w:vAlign w:val="top"/>
          </w:tcPr>
          <w:p>
            <w:r>
              <w:t>Reduces amount owed after reconciliation</w:t>
            </w:r>
          </w:p>
        </w:tc>
      </w:tr>
      <w:tr>
        <w:tc>
          <w:tcPr>
            <w:tcW w:type="dxa" w:w="3360"/>
            <w:tcMar>
              <w:top w:w="90" w:type="dxa"/>
              <w:bottom w:w="90" w:type="dxa"/>
              <w:start w:w="110" w:type="dxa"/>
              <w:end w:w="110" w:type="dxa"/>
            </w:tcMar>
            <w:vAlign w:val="top"/>
          </w:tcPr>
          <w:p>
            <w:r>
              <w:t>Bursary / Waiver</w:t>
            </w:r>
          </w:p>
        </w:tc>
        <w:tc>
          <w:tcPr>
            <w:tcW w:type="dxa" w:w="3360"/>
            <w:tcMar>
              <w:top w:w="90" w:type="dxa"/>
              <w:bottom w:w="90" w:type="dxa"/>
              <w:start w:w="110" w:type="dxa"/>
              <w:end w:w="110" w:type="dxa"/>
            </w:tcMar>
            <w:vAlign w:val="top"/>
          </w:tcPr>
          <w:p>
            <w:r>
              <w:t>School-approved support</w:t>
            </w:r>
          </w:p>
        </w:tc>
        <w:tc>
          <w:tcPr>
            <w:tcW w:type="dxa" w:w="3360"/>
            <w:tcMar>
              <w:top w:w="90" w:type="dxa"/>
              <w:bottom w:w="90" w:type="dxa"/>
              <w:start w:w="110" w:type="dxa"/>
              <w:end w:w="110" w:type="dxa"/>
            </w:tcMar>
            <w:vAlign w:val="top"/>
          </w:tcPr>
          <w:p>
            <w:r>
              <w:t>Reduces amount owed under an approval policy</w:t>
            </w:r>
          </w:p>
        </w:tc>
      </w:tr>
      <w:tr>
        <w:tc>
          <w:tcPr>
            <w:tcW w:type="dxa" w:w="3360"/>
            <w:tcMar>
              <w:top w:w="90" w:type="dxa"/>
              <w:bottom w:w="90" w:type="dxa"/>
              <w:start w:w="110" w:type="dxa"/>
              <w:end w:w="110" w:type="dxa"/>
            </w:tcMar>
            <w:vAlign w:val="top"/>
          </w:tcPr>
          <w:p>
            <w:r>
              <w:t>Sponsor Settlement</w:t>
            </w:r>
          </w:p>
        </w:tc>
        <w:tc>
          <w:tcPr>
            <w:tcW w:type="dxa" w:w="3360"/>
            <w:tcMar>
              <w:top w:w="90" w:type="dxa"/>
              <w:bottom w:w="90" w:type="dxa"/>
              <w:start w:w="110" w:type="dxa"/>
              <w:end w:w="110" w:type="dxa"/>
            </w:tcMar>
            <w:vAlign w:val="top"/>
          </w:tcPr>
          <w:p>
            <w:r>
              <w:t>Verified sponsor payment received by school</w:t>
            </w:r>
          </w:p>
        </w:tc>
        <w:tc>
          <w:tcPr>
            <w:tcW w:type="dxa" w:w="3360"/>
            <w:tcMar>
              <w:top w:w="90" w:type="dxa"/>
              <w:bottom w:w="90" w:type="dxa"/>
              <w:start w:w="110" w:type="dxa"/>
              <w:end w:w="110" w:type="dxa"/>
            </w:tcMar>
            <w:vAlign w:val="top"/>
          </w:tcPr>
          <w:p>
            <w:r>
              <w:t>Reduces amount owed</w:t>
            </w:r>
          </w:p>
        </w:tc>
      </w:tr>
      <w:tr>
        <w:tc>
          <w:tcPr>
            <w:tcW w:type="dxa" w:w="3360"/>
            <w:tcMar>
              <w:top w:w="90" w:type="dxa"/>
              <w:bottom w:w="90" w:type="dxa"/>
              <w:start w:w="110" w:type="dxa"/>
              <w:end w:w="110" w:type="dxa"/>
            </w:tcMar>
            <w:vAlign w:val="top"/>
          </w:tcPr>
          <w:p>
            <w:r>
              <w:t>Adjustment</w:t>
            </w:r>
          </w:p>
        </w:tc>
        <w:tc>
          <w:tcPr>
            <w:tcW w:type="dxa" w:w="3360"/>
            <w:tcMar>
              <w:top w:w="90" w:type="dxa"/>
              <w:bottom w:w="90" w:type="dxa"/>
              <w:start w:w="110" w:type="dxa"/>
              <w:end w:w="110" w:type="dxa"/>
            </w:tcMar>
            <w:vAlign w:val="top"/>
          </w:tcPr>
          <w:p>
            <w:r>
              <w:t>Approved correction</w:t>
            </w:r>
          </w:p>
        </w:tc>
        <w:tc>
          <w:tcPr>
            <w:tcW w:type="dxa" w:w="3360"/>
            <w:tcMar>
              <w:top w:w="90" w:type="dxa"/>
              <w:bottom w:w="90" w:type="dxa"/>
              <w:start w:w="110" w:type="dxa"/>
              <w:end w:w="110" w:type="dxa"/>
            </w:tcMar>
            <w:vAlign w:val="top"/>
          </w:tcPr>
          <w:p>
            <w:r>
              <w:t>Changes ledger with reason and approver</w:t>
            </w:r>
          </w:p>
        </w:tc>
      </w:tr>
      <w:tr>
        <w:tc>
          <w:tcPr>
            <w:tcW w:type="dxa" w:w="3360"/>
            <w:tcMar>
              <w:top w:w="90" w:type="dxa"/>
              <w:bottom w:w="90" w:type="dxa"/>
              <w:start w:w="110" w:type="dxa"/>
              <w:end w:w="110" w:type="dxa"/>
            </w:tcMar>
            <w:vAlign w:val="top"/>
          </w:tcPr>
          <w:p>
            <w:r>
              <w:t>Reversal</w:t>
            </w:r>
          </w:p>
        </w:tc>
        <w:tc>
          <w:tcPr>
            <w:tcW w:type="dxa" w:w="3360"/>
            <w:tcMar>
              <w:top w:w="90" w:type="dxa"/>
              <w:bottom w:w="90" w:type="dxa"/>
              <w:start w:w="110" w:type="dxa"/>
              <w:end w:w="110" w:type="dxa"/>
            </w:tcMar>
            <w:vAlign w:val="top"/>
          </w:tcPr>
          <w:p>
            <w:r>
              <w:t>Correction of a prior entry</w:t>
            </w:r>
          </w:p>
        </w:tc>
        <w:tc>
          <w:tcPr>
            <w:tcW w:type="dxa" w:w="3360"/>
            <w:tcMar>
              <w:top w:w="90" w:type="dxa"/>
              <w:bottom w:w="90" w:type="dxa"/>
              <w:start w:w="110" w:type="dxa"/>
              <w:end w:w="110" w:type="dxa"/>
            </w:tcMar>
            <w:vAlign w:val="top"/>
          </w:tcPr>
          <w:p>
            <w:r>
              <w:t>Preserves original history and reverses its effect</w:t>
            </w:r>
          </w:p>
        </w:tc>
      </w:tr>
      <w:tr>
        <w:tc>
          <w:tcPr>
            <w:tcW w:type="dxa" w:w="3360"/>
            <w:tcMar>
              <w:top w:w="90" w:type="dxa"/>
              <w:bottom w:w="90" w:type="dxa"/>
              <w:start w:w="110" w:type="dxa"/>
              <w:end w:w="110" w:type="dxa"/>
            </w:tcMar>
            <w:vAlign w:val="top"/>
          </w:tcPr>
          <w:p>
            <w:r>
              <w:t>Refund</w:t>
            </w:r>
          </w:p>
        </w:tc>
        <w:tc>
          <w:tcPr>
            <w:tcW w:type="dxa" w:w="3360"/>
            <w:tcMar>
              <w:top w:w="90" w:type="dxa"/>
              <w:bottom w:w="90" w:type="dxa"/>
              <w:start w:w="110" w:type="dxa"/>
              <w:end w:w="110" w:type="dxa"/>
            </w:tcMar>
            <w:vAlign w:val="top"/>
          </w:tcPr>
          <w:p>
            <w:r>
              <w:t>Money returned</w:t>
            </w:r>
          </w:p>
        </w:tc>
        <w:tc>
          <w:tcPr>
            <w:tcW w:type="dxa" w:w="3360"/>
            <w:tcMar>
              <w:top w:w="90" w:type="dxa"/>
              <w:bottom w:w="90" w:type="dxa"/>
              <w:start w:w="110" w:type="dxa"/>
              <w:end w:w="110" w:type="dxa"/>
            </w:tcMar>
            <w:vAlign w:val="top"/>
          </w:tcPr>
          <w:p>
            <w:r>
              <w:t>Recorded as a separate financial event</w:t>
            </w:r>
          </w:p>
        </w:tc>
      </w:tr>
    </w:tbl>
    <w:p>
      <w:pPr>
        <w:spacing w:after="20"/>
      </w:pPr>
    </w:p>
    <w:tbl>
      <w:tblPr>
        <w:tblW w:type="auto" w:w="0"/>
        <w:jc w:val="center"/>
        <w:tblLook w:firstColumn="1" w:firstRow="1" w:lastColumn="0" w:lastRow="0" w:noHBand="0" w:noVBand="1" w:val="04A0"/>
      </w:tblPr>
      <w:tblGrid>
        <w:gridCol w:w="10080"/>
      </w:tblGrid>
      <w:tr>
        <w:tc>
          <w:tcPr>
            <w:tcW w:type="dxa" w:w="10080"/>
            <w:shd w:fill="E9F3F2"/>
            <w:tcMar>
              <w:top w:w="120" w:type="dxa"/>
              <w:bottom w:w="120" w:type="dxa"/>
              <w:start w:w="160" w:type="dxa"/>
              <w:end w:w="160" w:type="dxa"/>
            </w:tcMar>
          </w:tcPr>
          <w:p>
            <w:r>
              <w:rPr>
                <w:b/>
                <w:color w:val="173F46"/>
              </w:rPr>
              <w:t>Accounting rule</w:t>
              <w:br/>
            </w:r>
            <w:r>
              <w:t>Completed financial events are not silently edited or deleted. Corrections use traceable adjustments or reversals with reason, actor, time and approval evidence.</w:t>
            </w:r>
          </w:p>
        </w:tc>
      </w:tr>
    </w:tbl>
    <w:p>
      <w:pPr>
        <w:spacing w:after="0"/>
      </w:pPr>
    </w:p>
    <w:p>
      <w:pPr>
        <w:pStyle w:val="Heading1"/>
      </w:pPr>
      <w:r>
        <w:t>8. Payment Channels and Reconciliation</w:t>
      </w:r>
    </w:p>
    <w:p>
      <w:r>
        <w:t>HarambeeOne should accept information from the channels schools already use. It does not require every payment rail to be replaced.</w:t>
      </w:r>
    </w:p>
    <w:tbl>
      <w:tblPr>
        <w:tblStyle w:val="TableGrid"/>
        <w:tblW w:type="auto" w:w="0"/>
        <w:jc w:val="center"/>
        <w:tblLook w:firstColumn="1" w:firstRow="1" w:lastColumn="0" w:lastRow="0" w:noHBand="0" w:noVBand="1" w:val="04A0"/>
      </w:tblPr>
      <w:tblGrid>
        <w:gridCol w:w="5040"/>
        <w:gridCol w:w="5040"/>
      </w:tblGrid>
      <w:tr>
        <w:tc>
          <w:tcPr>
            <w:tcW w:type="dxa" w:w="5040"/>
            <w:shd w:fill="246A73"/>
            <w:tcMar>
              <w:top w:w="90" w:type="dxa"/>
              <w:bottom w:w="90" w:type="dxa"/>
              <w:start w:w="110" w:type="dxa"/>
              <w:end w:w="110" w:type="dxa"/>
            </w:tcMar>
          </w:tcPr>
          <w:p>
            <w:r>
              <w:rPr>
                <w:b/>
                <w:color w:val="FFFFFF"/>
              </w:rPr>
              <w:t>Channel</w:t>
            </w:r>
          </w:p>
        </w:tc>
        <w:tc>
          <w:tcPr>
            <w:tcW w:type="dxa" w:w="5040"/>
            <w:shd w:fill="246A73"/>
            <w:tcMar>
              <w:top w:w="90" w:type="dxa"/>
              <w:bottom w:w="90" w:type="dxa"/>
              <w:start w:w="110" w:type="dxa"/>
              <w:end w:w="110" w:type="dxa"/>
            </w:tcMar>
          </w:tcPr>
          <w:p>
            <w:r>
              <w:rPr>
                <w:b/>
                <w:color w:val="FFFFFF"/>
              </w:rPr>
              <w:t>Treatment</w:t>
            </w:r>
          </w:p>
        </w:tc>
      </w:tr>
      <w:tr>
        <w:tc>
          <w:tcPr>
            <w:tcW w:type="dxa" w:w="5040"/>
            <w:tcMar>
              <w:top w:w="90" w:type="dxa"/>
              <w:bottom w:w="90" w:type="dxa"/>
              <w:start w:w="110" w:type="dxa"/>
              <w:end w:w="110" w:type="dxa"/>
            </w:tcMar>
            <w:vAlign w:val="top"/>
          </w:tcPr>
          <w:p>
            <w:r>
              <w:t>SchoolPay</w:t>
            </w:r>
          </w:p>
        </w:tc>
        <w:tc>
          <w:tcPr>
            <w:tcW w:type="dxa" w:w="5040"/>
            <w:tcMar>
              <w:top w:w="90" w:type="dxa"/>
              <w:bottom w:w="90" w:type="dxa"/>
              <w:start w:w="110" w:type="dxa"/>
              <w:end w:w="110" w:type="dxa"/>
            </w:tcMar>
            <w:vAlign w:val="top"/>
          </w:tcPr>
          <w:p>
            <w:r>
              <w:t>Import/API reconciliation where access is formally available.</w:t>
            </w:r>
          </w:p>
        </w:tc>
      </w:tr>
      <w:tr>
        <w:tc>
          <w:tcPr>
            <w:tcW w:type="dxa" w:w="5040"/>
            <w:tcMar>
              <w:top w:w="90" w:type="dxa"/>
              <w:bottom w:w="90" w:type="dxa"/>
              <w:start w:w="110" w:type="dxa"/>
              <w:end w:w="110" w:type="dxa"/>
            </w:tcMar>
            <w:vAlign w:val="top"/>
          </w:tcPr>
          <w:p>
            <w:r>
              <w:t>Bank</w:t>
            </w:r>
          </w:p>
        </w:tc>
        <w:tc>
          <w:tcPr>
            <w:tcW w:type="dxa" w:w="5040"/>
            <w:tcMar>
              <w:top w:w="90" w:type="dxa"/>
              <w:bottom w:w="90" w:type="dxa"/>
              <w:start w:w="110" w:type="dxa"/>
              <w:end w:w="110" w:type="dxa"/>
            </w:tcMar>
            <w:vAlign w:val="top"/>
          </w:tcPr>
          <w:p>
            <w:r>
              <w:t>Statement/feed import or approved API integration; match reference and payer details.</w:t>
            </w:r>
          </w:p>
        </w:tc>
      </w:tr>
      <w:tr>
        <w:tc>
          <w:tcPr>
            <w:tcW w:type="dxa" w:w="5040"/>
            <w:tcMar>
              <w:top w:w="90" w:type="dxa"/>
              <w:bottom w:w="90" w:type="dxa"/>
              <w:start w:w="110" w:type="dxa"/>
              <w:end w:w="110" w:type="dxa"/>
            </w:tcMar>
            <w:vAlign w:val="top"/>
          </w:tcPr>
          <w:p>
            <w:r>
              <w:t>Mobile Money</w:t>
            </w:r>
          </w:p>
        </w:tc>
        <w:tc>
          <w:tcPr>
            <w:tcW w:type="dxa" w:w="5040"/>
            <w:tcMar>
              <w:top w:w="90" w:type="dxa"/>
              <w:bottom w:w="90" w:type="dxa"/>
              <w:start w:w="110" w:type="dxa"/>
              <w:end w:w="110" w:type="dxa"/>
            </w:tcMar>
            <w:vAlign w:val="top"/>
          </w:tcPr>
          <w:p>
            <w:r>
              <w:t>Provider/payment-partner integration where available.</w:t>
            </w:r>
          </w:p>
        </w:tc>
      </w:tr>
      <w:tr>
        <w:tc>
          <w:tcPr>
            <w:tcW w:type="dxa" w:w="5040"/>
            <w:tcMar>
              <w:top w:w="90" w:type="dxa"/>
              <w:bottom w:w="90" w:type="dxa"/>
              <w:start w:w="110" w:type="dxa"/>
              <w:end w:w="110" w:type="dxa"/>
            </w:tcMar>
            <w:vAlign w:val="top"/>
          </w:tcPr>
          <w:p>
            <w:r>
              <w:t>Cash at school</w:t>
            </w:r>
          </w:p>
        </w:tc>
        <w:tc>
          <w:tcPr>
            <w:tcW w:type="dxa" w:w="5040"/>
            <w:tcMar>
              <w:top w:w="90" w:type="dxa"/>
              <w:bottom w:w="90" w:type="dxa"/>
              <w:start w:w="110" w:type="dxa"/>
              <w:end w:w="110" w:type="dxa"/>
            </w:tcMar>
            <w:vAlign w:val="top"/>
          </w:tcPr>
          <w:p>
            <w:r>
              <w:t>Bursar records receipt; system generates unique receipt and audit event.</w:t>
            </w:r>
          </w:p>
        </w:tc>
      </w:tr>
      <w:tr>
        <w:tc>
          <w:tcPr>
            <w:tcW w:type="dxa" w:w="5040"/>
            <w:tcMar>
              <w:top w:w="90" w:type="dxa"/>
              <w:bottom w:w="90" w:type="dxa"/>
              <w:start w:w="110" w:type="dxa"/>
              <w:end w:w="110" w:type="dxa"/>
            </w:tcMar>
            <w:vAlign w:val="top"/>
          </w:tcPr>
          <w:p>
            <w:r>
              <w:t>Card / Online payment</w:t>
            </w:r>
          </w:p>
        </w:tc>
        <w:tc>
          <w:tcPr>
            <w:tcW w:type="dxa" w:w="5040"/>
            <w:tcMar>
              <w:top w:w="90" w:type="dxa"/>
              <w:bottom w:w="90" w:type="dxa"/>
              <w:start w:w="110" w:type="dxa"/>
              <w:end w:w="110" w:type="dxa"/>
            </w:tcMar>
            <w:vAlign w:val="top"/>
          </w:tcPr>
          <w:p>
            <w:r>
              <w:t>Optional payment-provider integration.</w:t>
            </w:r>
          </w:p>
        </w:tc>
      </w:tr>
      <w:tr>
        <w:tc>
          <w:tcPr>
            <w:tcW w:type="dxa" w:w="5040"/>
            <w:tcMar>
              <w:top w:w="90" w:type="dxa"/>
              <w:bottom w:w="90" w:type="dxa"/>
              <w:start w:w="110" w:type="dxa"/>
              <w:end w:w="110" w:type="dxa"/>
            </w:tcMar>
            <w:vAlign w:val="top"/>
          </w:tcPr>
          <w:p>
            <w:r>
              <w:t>Sponsor settlement</w:t>
            </w:r>
          </w:p>
        </w:tc>
        <w:tc>
          <w:tcPr>
            <w:tcW w:type="dxa" w:w="5040"/>
            <w:tcMar>
              <w:top w:w="90" w:type="dxa"/>
              <w:bottom w:w="90" w:type="dxa"/>
              <w:start w:w="110" w:type="dxa"/>
              <w:end w:w="110" w:type="dxa"/>
            </w:tcMar>
            <w:vAlign w:val="top"/>
          </w:tcPr>
          <w:p>
            <w:r>
              <w:t>Reconciled only after the school’s fiat settlement is confirmed.</w:t>
            </w:r>
          </w:p>
        </w:tc>
      </w:tr>
    </w:tbl>
    <w:p>
      <w:pPr>
        <w:spacing w:after="20"/>
      </w:pPr>
    </w:p>
    <w:p>
      <w:pPr>
        <w:pStyle w:val="Heading2"/>
      </w:pPr>
      <w:r>
        <w:t>8.1 Reconciliation states</w:t>
      </w:r>
    </w:p>
    <w:tbl>
      <w:tblPr>
        <w:tblStyle w:val="TableGrid"/>
        <w:tblW w:type="auto" w:w="0"/>
        <w:jc w:val="center"/>
        <w:tblLook w:firstColumn="1" w:firstRow="1" w:lastColumn="0" w:lastRow="0" w:noHBand="0" w:noVBand="1" w:val="04A0"/>
      </w:tblPr>
      <w:tblGrid>
        <w:gridCol w:w="5040"/>
        <w:gridCol w:w="5040"/>
      </w:tblGrid>
      <w:tr>
        <w:tc>
          <w:tcPr>
            <w:tcW w:type="dxa" w:w="5040"/>
            <w:shd w:fill="246A73"/>
            <w:tcMar>
              <w:top w:w="90" w:type="dxa"/>
              <w:bottom w:w="90" w:type="dxa"/>
              <w:start w:w="110" w:type="dxa"/>
              <w:end w:w="110" w:type="dxa"/>
            </w:tcMar>
          </w:tcPr>
          <w:p>
            <w:r>
              <w:rPr>
                <w:b/>
                <w:color w:val="FFFFFF"/>
              </w:rPr>
              <w:t>State</w:t>
            </w:r>
          </w:p>
        </w:tc>
        <w:tc>
          <w:tcPr>
            <w:tcW w:type="dxa" w:w="5040"/>
            <w:shd w:fill="246A73"/>
            <w:tcMar>
              <w:top w:w="90" w:type="dxa"/>
              <w:bottom w:w="90" w:type="dxa"/>
              <w:start w:w="110" w:type="dxa"/>
              <w:end w:w="110" w:type="dxa"/>
            </w:tcMar>
          </w:tcPr>
          <w:p>
            <w:r>
              <w:rPr>
                <w:b/>
                <w:color w:val="FFFFFF"/>
              </w:rPr>
              <w:t>Meaning</w:t>
            </w:r>
          </w:p>
        </w:tc>
      </w:tr>
      <w:tr>
        <w:tc>
          <w:tcPr>
            <w:tcW w:type="dxa" w:w="5040"/>
            <w:tcMar>
              <w:top w:w="90" w:type="dxa"/>
              <w:bottom w:w="90" w:type="dxa"/>
              <w:start w:w="110" w:type="dxa"/>
              <w:end w:w="110" w:type="dxa"/>
            </w:tcMar>
            <w:vAlign w:val="top"/>
          </w:tcPr>
          <w:p>
            <w:r>
              <w:t>RECEIVED</w:t>
            </w:r>
          </w:p>
        </w:tc>
        <w:tc>
          <w:tcPr>
            <w:tcW w:type="dxa" w:w="5040"/>
            <w:tcMar>
              <w:top w:w="90" w:type="dxa"/>
              <w:bottom w:w="90" w:type="dxa"/>
              <w:start w:w="110" w:type="dxa"/>
              <w:end w:w="110" w:type="dxa"/>
            </w:tcMar>
            <w:vAlign w:val="top"/>
          </w:tcPr>
          <w:p>
            <w:r>
              <w:t>Transaction data entered/imported.</w:t>
            </w:r>
          </w:p>
        </w:tc>
      </w:tr>
      <w:tr>
        <w:tc>
          <w:tcPr>
            <w:tcW w:type="dxa" w:w="5040"/>
            <w:tcMar>
              <w:top w:w="90" w:type="dxa"/>
              <w:bottom w:w="90" w:type="dxa"/>
              <w:start w:w="110" w:type="dxa"/>
              <w:end w:w="110" w:type="dxa"/>
            </w:tcMar>
            <w:vAlign w:val="top"/>
          </w:tcPr>
          <w:p>
            <w:r>
              <w:t>UNMATCHED</w:t>
            </w:r>
          </w:p>
        </w:tc>
        <w:tc>
          <w:tcPr>
            <w:tcW w:type="dxa" w:w="5040"/>
            <w:tcMar>
              <w:top w:w="90" w:type="dxa"/>
              <w:bottom w:w="90" w:type="dxa"/>
              <w:start w:w="110" w:type="dxa"/>
              <w:end w:w="110" w:type="dxa"/>
            </w:tcMar>
            <w:vAlign w:val="top"/>
          </w:tcPr>
          <w:p>
            <w:r>
              <w:t>No reliable learner match yet.</w:t>
            </w:r>
          </w:p>
        </w:tc>
      </w:tr>
      <w:tr>
        <w:tc>
          <w:tcPr>
            <w:tcW w:type="dxa" w:w="5040"/>
            <w:tcMar>
              <w:top w:w="90" w:type="dxa"/>
              <w:bottom w:w="90" w:type="dxa"/>
              <w:start w:w="110" w:type="dxa"/>
              <w:end w:w="110" w:type="dxa"/>
            </w:tcMar>
            <w:vAlign w:val="top"/>
          </w:tcPr>
          <w:p>
            <w:r>
              <w:t>MATCH_SUGGESTED</w:t>
            </w:r>
          </w:p>
        </w:tc>
        <w:tc>
          <w:tcPr>
            <w:tcW w:type="dxa" w:w="5040"/>
            <w:tcMar>
              <w:top w:w="90" w:type="dxa"/>
              <w:bottom w:w="90" w:type="dxa"/>
              <w:start w:w="110" w:type="dxa"/>
              <w:end w:w="110" w:type="dxa"/>
            </w:tcMar>
            <w:vAlign w:val="top"/>
          </w:tcPr>
          <w:p>
            <w:r>
              <w:t>System/AI proposes a likely match.</w:t>
            </w:r>
          </w:p>
        </w:tc>
      </w:tr>
      <w:tr>
        <w:tc>
          <w:tcPr>
            <w:tcW w:type="dxa" w:w="5040"/>
            <w:tcMar>
              <w:top w:w="90" w:type="dxa"/>
              <w:bottom w:w="90" w:type="dxa"/>
              <w:start w:w="110" w:type="dxa"/>
              <w:end w:w="110" w:type="dxa"/>
            </w:tcMar>
            <w:vAlign w:val="top"/>
          </w:tcPr>
          <w:p>
            <w:r>
              <w:t>MATCHED</w:t>
            </w:r>
          </w:p>
        </w:tc>
        <w:tc>
          <w:tcPr>
            <w:tcW w:type="dxa" w:w="5040"/>
            <w:tcMar>
              <w:top w:w="90" w:type="dxa"/>
              <w:bottom w:w="90" w:type="dxa"/>
              <w:start w:w="110" w:type="dxa"/>
              <w:end w:w="110" w:type="dxa"/>
            </w:tcMar>
            <w:vAlign w:val="top"/>
          </w:tcPr>
          <w:p>
            <w:r>
              <w:t>Human or deterministic rule links the payment.</w:t>
            </w:r>
          </w:p>
        </w:tc>
      </w:tr>
      <w:tr>
        <w:tc>
          <w:tcPr>
            <w:tcW w:type="dxa" w:w="5040"/>
            <w:tcMar>
              <w:top w:w="90" w:type="dxa"/>
              <w:bottom w:w="90" w:type="dxa"/>
              <w:start w:w="110" w:type="dxa"/>
              <w:end w:w="110" w:type="dxa"/>
            </w:tcMar>
            <w:vAlign w:val="top"/>
          </w:tcPr>
          <w:p>
            <w:r>
              <w:t>RECONCILED</w:t>
            </w:r>
          </w:p>
        </w:tc>
        <w:tc>
          <w:tcPr>
            <w:tcW w:type="dxa" w:w="5040"/>
            <w:tcMar>
              <w:top w:w="90" w:type="dxa"/>
              <w:bottom w:w="90" w:type="dxa"/>
              <w:start w:w="110" w:type="dxa"/>
              <w:end w:w="110" w:type="dxa"/>
            </w:tcMar>
            <w:vAlign w:val="top"/>
          </w:tcPr>
          <w:p>
            <w:r>
              <w:t>Ledger allocation is confirmed.</w:t>
            </w:r>
          </w:p>
        </w:tc>
      </w:tr>
      <w:tr>
        <w:tc>
          <w:tcPr>
            <w:tcW w:type="dxa" w:w="5040"/>
            <w:tcMar>
              <w:top w:w="90" w:type="dxa"/>
              <w:bottom w:w="90" w:type="dxa"/>
              <w:start w:w="110" w:type="dxa"/>
              <w:end w:w="110" w:type="dxa"/>
            </w:tcMar>
            <w:vAlign w:val="top"/>
          </w:tcPr>
          <w:p>
            <w:r>
              <w:t>SETTLED</w:t>
            </w:r>
          </w:p>
        </w:tc>
        <w:tc>
          <w:tcPr>
            <w:tcW w:type="dxa" w:w="5040"/>
            <w:tcMar>
              <w:top w:w="90" w:type="dxa"/>
              <w:bottom w:w="90" w:type="dxa"/>
              <w:start w:w="110" w:type="dxa"/>
              <w:end w:w="110" w:type="dxa"/>
            </w:tcMar>
            <w:vAlign w:val="top"/>
          </w:tcPr>
          <w:p>
            <w:r>
              <w:t>Underlying money is confirmed where settlement is relevant.</w:t>
            </w:r>
          </w:p>
        </w:tc>
      </w:tr>
      <w:tr>
        <w:tc>
          <w:tcPr>
            <w:tcW w:type="dxa" w:w="5040"/>
            <w:tcMar>
              <w:top w:w="90" w:type="dxa"/>
              <w:bottom w:w="90" w:type="dxa"/>
              <w:start w:w="110" w:type="dxa"/>
              <w:end w:w="110" w:type="dxa"/>
            </w:tcMar>
            <w:vAlign w:val="top"/>
          </w:tcPr>
          <w:p>
            <w:r>
              <w:t>DISPUTED</w:t>
            </w:r>
          </w:p>
        </w:tc>
        <w:tc>
          <w:tcPr>
            <w:tcW w:type="dxa" w:w="5040"/>
            <w:tcMar>
              <w:top w:w="90" w:type="dxa"/>
              <w:bottom w:w="90" w:type="dxa"/>
              <w:start w:w="110" w:type="dxa"/>
              <w:end w:w="110" w:type="dxa"/>
            </w:tcMar>
            <w:vAlign w:val="top"/>
          </w:tcPr>
          <w:p>
            <w:r>
              <w:t>School/payer/provider disagrees with the record.</w:t>
            </w:r>
          </w:p>
        </w:tc>
      </w:tr>
      <w:tr>
        <w:tc>
          <w:tcPr>
            <w:tcW w:type="dxa" w:w="5040"/>
            <w:tcMar>
              <w:top w:w="90" w:type="dxa"/>
              <w:bottom w:w="90" w:type="dxa"/>
              <w:start w:w="110" w:type="dxa"/>
              <w:end w:w="110" w:type="dxa"/>
            </w:tcMar>
            <w:vAlign w:val="top"/>
          </w:tcPr>
          <w:p>
            <w:r>
              <w:t>REVERSED / REFUNDED</w:t>
            </w:r>
          </w:p>
        </w:tc>
        <w:tc>
          <w:tcPr>
            <w:tcW w:type="dxa" w:w="5040"/>
            <w:tcMar>
              <w:top w:w="90" w:type="dxa"/>
              <w:bottom w:w="90" w:type="dxa"/>
              <w:start w:w="110" w:type="dxa"/>
              <w:end w:w="110" w:type="dxa"/>
            </w:tcMar>
            <w:vAlign w:val="top"/>
          </w:tcPr>
          <w:p>
            <w:r>
              <w:t>Subsequent financial event changes the outcome.</w:t>
            </w:r>
          </w:p>
        </w:tc>
      </w:tr>
    </w:tbl>
    <w:p>
      <w:pPr>
        <w:spacing w:after="20"/>
      </w:pPr>
    </w:p>
    <w:p>
      <w:r>
        <w:t>Every retry to an external financial service must use idempotency controls so a network timeout cannot create a duplicate payment.</w:t>
      </w:r>
    </w:p>
    <w:p>
      <w:pPr>
        <w:pStyle w:val="Heading1"/>
      </w:pPr>
      <w:r>
        <w:t>9. Receipts</w:t>
      </w:r>
    </w:p>
    <w:p>
      <w:pPr>
        <w:pStyle w:val="ListBullet"/>
      </w:pPr>
      <w:r>
        <w:t>Every reconciled payment receives a unique HarambeeOne receipt reference.</w:t>
      </w:r>
    </w:p>
    <w:p>
      <w:pPr>
        <w:pStyle w:val="ListBullet"/>
      </w:pPr>
      <w:r>
        <w:t>Receipts show school, learner reference, payment amount, channel, date, allocation and remaining balance where policy allows.</w:t>
      </w:r>
    </w:p>
    <w:p>
      <w:pPr>
        <w:pStyle w:val="ListBullet"/>
      </w:pPr>
      <w:r>
        <w:t>Receipts can be viewed at any time from the authorised account and may be sent by SMS/email as a confirmation link or reference.</w:t>
      </w:r>
    </w:p>
    <w:p>
      <w:pPr>
        <w:pStyle w:val="ListBullet"/>
      </w:pPr>
      <w:r>
        <w:t>Reissued receipts must preserve the original transaction reference; reprinting does not create a new payment.</w:t>
      </w:r>
    </w:p>
    <w:p>
      <w:pPr>
        <w:pStyle w:val="ListBullet"/>
      </w:pPr>
      <w:r>
        <w:t>Cash receipts require the staff identity and device/session that recorded the transaction.</w:t>
      </w:r>
    </w:p>
    <w:p>
      <w:pPr>
        <w:pStyle w:val="Heading1"/>
      </w:pPr>
      <w:r>
        <w:t>10. Sponsorship and Beneficiary Discovery</w:t>
      </w:r>
    </w:p>
    <w:p>
      <w:r>
        <w:t>HarambeeOne Fund allows verified sponsors to support learners without requiring blockchain knowledge. Discovery must protect children: a sponsor should not freely browse a public directory containing identifiable minors.</w:t>
      </w:r>
    </w:p>
    <w:p>
      <w:pPr>
        <w:pStyle w:val="Heading2"/>
      </w:pPr>
      <w:r>
        <w:t>10.1 Safe discovery models</w:t>
      </w:r>
    </w:p>
    <w:p>
      <w:pPr>
        <w:pStyle w:val="ListBullet"/>
      </w:pPr>
      <w:r>
        <w:t>School-nominated opportunities: a school publishes approved, privacy-minimised funding needs.</w:t>
      </w:r>
    </w:p>
    <w:p>
      <w:pPr>
        <w:pStyle w:val="ListBullet"/>
      </w:pPr>
      <w:r>
        <w:t>Programme matching: a verified NGO defines eligibility criteria and HarambeeOne returns authorised candidate records according to consent and programme rules.</w:t>
      </w:r>
    </w:p>
    <w:p>
      <w:pPr>
        <w:pStyle w:val="ListBullet"/>
      </w:pPr>
      <w:r>
        <w:t>Direct learner support: a sponsor uses an approved reference or invitation to reach a specific learner.</w:t>
      </w:r>
    </w:p>
    <w:p>
      <w:pPr>
        <w:pStyle w:val="ListBullet"/>
      </w:pPr>
      <w:r>
        <w:t>Public impact pages show aggregated or anonymised information rather than private child profiles.</w:t>
      </w:r>
    </w:p>
    <w:p>
      <w:pPr>
        <w:pStyle w:val="Heading2"/>
      </w:pPr>
      <w:r>
        <w:t>10.2 Beneficiary resolution</w:t>
      </w:r>
    </w:p>
    <w:p>
      <w:r>
        <w:t>When a sponsor list and school record may refer to the same learner, HarambeeOne uses controlled matching based on authorised identifiers such as school, admission number, programme reference, date of birth and guardian information. Fuzzy/AI matching can suggest a candidate, but uncertain identities require human confirmation.</w:t>
      </w:r>
    </w:p>
    <w:p>
      <w:pPr>
        <w:pStyle w:val="Heading1"/>
      </w:pPr>
      <w:r>
        <w:t>11. Sponsor Programme Lifecycle</w:t>
      </w:r>
    </w:p>
    <w:p>
      <w:pPr>
        <w:pStyle w:val="ListNumber"/>
      </w:pPr>
      <w:r>
        <w:t>Verify the sponsor organisation or individual to the level required by the programme and payment partner.</w:t>
      </w:r>
    </w:p>
    <w:p>
      <w:pPr>
        <w:pStyle w:val="ListNumber"/>
      </w:pPr>
      <w:r>
        <w:t>Create programme, participating schools, funding period, budget, eligibility rules and obligation currency.</w:t>
      </w:r>
    </w:p>
    <w:p>
      <w:pPr>
        <w:pStyle w:val="ListNumber"/>
      </w:pPr>
      <w:r>
        <w:t>Add or match beneficiaries.</w:t>
      </w:r>
    </w:p>
    <w:p>
      <w:pPr>
        <w:pStyle w:val="ListNumber"/>
      </w:pPr>
      <w:r>
        <w:t>Approve allocations.</w:t>
      </w:r>
    </w:p>
    <w:p>
      <w:pPr>
        <w:pStyle w:val="ListNumber"/>
      </w:pPr>
      <w:r>
        <w:t>Fund the programme through supported fiat or USDC channels.</w:t>
      </w:r>
    </w:p>
    <w:p>
      <w:pPr>
        <w:pStyle w:val="ListNumber"/>
      </w:pPr>
      <w:r>
        <w:t>Confirm required enrollment/eligibility events.</w:t>
      </w:r>
    </w:p>
    <w:p>
      <w:pPr>
        <w:pStyle w:val="ListNumber"/>
      </w:pPr>
      <w:r>
        <w:t>Authorise scheduled or milestone releases.</w:t>
      </w:r>
    </w:p>
    <w:p>
      <w:pPr>
        <w:pStyle w:val="ListNumber"/>
      </w:pPr>
      <w:r>
        <w:t>Disburse and off-ramp where required.</w:t>
      </w:r>
    </w:p>
    <w:p>
      <w:pPr>
        <w:pStyle w:val="ListNumber"/>
      </w:pPr>
      <w:r>
        <w:t>Confirm school fiat settlement.</w:t>
      </w:r>
    </w:p>
    <w:p>
      <w:pPr>
        <w:pStyle w:val="ListNumber"/>
      </w:pPr>
      <w:r>
        <w:t>Post the sponsor settlement to the learner ledger.</w:t>
      </w:r>
    </w:p>
    <w:p>
      <w:pPr>
        <w:pStyle w:val="ListNumber"/>
      </w:pPr>
      <w:r>
        <w:t>Handle transfers, withdrawals, unused funds and disputes.</w:t>
      </w:r>
    </w:p>
    <w:p>
      <w:pPr>
        <w:pStyle w:val="ListNumber"/>
      </w:pPr>
      <w:r>
        <w:t>Close programme and produce final audit/impact report.</w:t>
      </w:r>
    </w:p>
    <w:p>
      <w:pPr>
        <w:pStyle w:val="Heading1"/>
      </w:pPr>
      <w:r>
        <w:t>12. Stellar Architecture</w:t>
      </w:r>
    </w:p>
    <w:p>
      <w:r>
        <w:t>Stellar is optional for ordinary school operations but central to the programmable funding product. The protocol must keep personally identifiable student data off-chain.</w:t>
      </w:r>
    </w:p>
    <w:tbl>
      <w:tblPr>
        <w:tblStyle w:val="TableGrid"/>
        <w:tblW w:type="auto" w:w="0"/>
        <w:jc w:val="center"/>
        <w:tblLook w:firstColumn="1" w:firstRow="1" w:lastColumn="0" w:lastRow="0" w:noHBand="0" w:noVBand="1" w:val="04A0"/>
      </w:tblPr>
      <w:tblGrid>
        <w:gridCol w:w="5040"/>
        <w:gridCol w:w="5040"/>
      </w:tblGrid>
      <w:tr>
        <w:tc>
          <w:tcPr>
            <w:tcW w:type="dxa" w:w="5040"/>
            <w:shd w:fill="246A73"/>
            <w:tcMar>
              <w:top w:w="90" w:type="dxa"/>
              <w:bottom w:w="90" w:type="dxa"/>
              <w:start w:w="110" w:type="dxa"/>
              <w:end w:w="110" w:type="dxa"/>
            </w:tcMar>
          </w:tcPr>
          <w:p>
            <w:r>
              <w:rPr>
                <w:b/>
                <w:color w:val="FFFFFF"/>
              </w:rPr>
              <w:t>Component</w:t>
            </w:r>
          </w:p>
        </w:tc>
        <w:tc>
          <w:tcPr>
            <w:tcW w:type="dxa" w:w="5040"/>
            <w:shd w:fill="246A73"/>
            <w:tcMar>
              <w:top w:w="90" w:type="dxa"/>
              <w:bottom w:w="90" w:type="dxa"/>
              <w:start w:w="110" w:type="dxa"/>
              <w:end w:w="110" w:type="dxa"/>
            </w:tcMar>
          </w:tcPr>
          <w:p>
            <w:r>
              <w:rPr>
                <w:b/>
                <w:color w:val="FFFFFF"/>
              </w:rPr>
              <w:t>Role</w:t>
            </w:r>
          </w:p>
        </w:tc>
      </w:tr>
      <w:tr>
        <w:tc>
          <w:tcPr>
            <w:tcW w:type="dxa" w:w="5040"/>
            <w:tcMar>
              <w:top w:w="90" w:type="dxa"/>
              <w:bottom w:w="90" w:type="dxa"/>
              <w:start w:w="110" w:type="dxa"/>
              <w:end w:w="110" w:type="dxa"/>
            </w:tcMar>
            <w:vAlign w:val="top"/>
          </w:tcPr>
          <w:p>
            <w:r>
              <w:t>Education Funding Vault</w:t>
            </w:r>
          </w:p>
        </w:tc>
        <w:tc>
          <w:tcPr>
            <w:tcW w:type="dxa" w:w="5040"/>
            <w:tcMar>
              <w:top w:w="90" w:type="dxa"/>
              <w:bottom w:w="90" w:type="dxa"/>
              <w:start w:w="110" w:type="dxa"/>
              <w:end w:w="110" w:type="dxa"/>
            </w:tcMar>
            <w:vAlign w:val="top"/>
          </w:tcPr>
          <w:p>
            <w:r>
              <w:t>Programme treasury or funding state for supported on-chain assets such as USDC.</w:t>
            </w:r>
          </w:p>
        </w:tc>
      </w:tr>
      <w:tr>
        <w:tc>
          <w:tcPr>
            <w:tcW w:type="dxa" w:w="5040"/>
            <w:tcMar>
              <w:top w:w="90" w:type="dxa"/>
              <w:bottom w:w="90" w:type="dxa"/>
              <w:start w:w="110" w:type="dxa"/>
              <w:end w:w="110" w:type="dxa"/>
            </w:tcMar>
            <w:vAlign w:val="top"/>
          </w:tcPr>
          <w:p>
            <w:r>
              <w:t>Soroban Contracts</w:t>
            </w:r>
          </w:p>
        </w:tc>
        <w:tc>
          <w:tcPr>
            <w:tcW w:type="dxa" w:w="5040"/>
            <w:tcMar>
              <w:top w:w="90" w:type="dxa"/>
              <w:bottom w:w="90" w:type="dxa"/>
              <w:start w:w="110" w:type="dxa"/>
              <w:end w:w="110" w:type="dxa"/>
            </w:tcMar>
            <w:vAlign w:val="top"/>
          </w:tcPr>
          <w:p>
            <w:r>
              <w:t>Programme rules, institution authorisation, pseudonymous beneficiary allocation, release conditions, approval controls and unused-fund handling.</w:t>
            </w:r>
          </w:p>
        </w:tc>
      </w:tr>
      <w:tr>
        <w:tc>
          <w:tcPr>
            <w:tcW w:type="dxa" w:w="5040"/>
            <w:tcMar>
              <w:top w:w="90" w:type="dxa"/>
              <w:bottom w:w="90" w:type="dxa"/>
              <w:start w:w="110" w:type="dxa"/>
              <w:end w:w="110" w:type="dxa"/>
            </w:tcMar>
            <w:vAlign w:val="top"/>
          </w:tcPr>
          <w:p>
            <w:r>
              <w:t>Stellar Network</w:t>
            </w:r>
          </w:p>
        </w:tc>
        <w:tc>
          <w:tcPr>
            <w:tcW w:type="dxa" w:w="5040"/>
            <w:tcMar>
              <w:top w:w="90" w:type="dxa"/>
              <w:bottom w:w="90" w:type="dxa"/>
              <w:start w:w="110" w:type="dxa"/>
              <w:end w:w="110" w:type="dxa"/>
            </w:tcMar>
            <w:vAlign w:val="top"/>
          </w:tcPr>
          <w:p>
            <w:r>
              <w:t>Movement and settlement of supported on-chain assets.</w:t>
            </w:r>
          </w:p>
        </w:tc>
      </w:tr>
      <w:tr>
        <w:tc>
          <w:tcPr>
            <w:tcW w:type="dxa" w:w="5040"/>
            <w:tcMar>
              <w:top w:w="90" w:type="dxa"/>
              <w:bottom w:w="90" w:type="dxa"/>
              <w:start w:w="110" w:type="dxa"/>
              <w:end w:w="110" w:type="dxa"/>
            </w:tcMar>
            <w:vAlign w:val="top"/>
          </w:tcPr>
          <w:p>
            <w:r>
              <w:t>Stellar Disbursement Platform</w:t>
            </w:r>
          </w:p>
        </w:tc>
        <w:tc>
          <w:tcPr>
            <w:tcW w:type="dxa" w:w="5040"/>
            <w:tcMar>
              <w:top w:w="90" w:type="dxa"/>
              <w:bottom w:w="90" w:type="dxa"/>
              <w:start w:w="110" w:type="dxa"/>
              <w:end w:w="110" w:type="dxa"/>
            </w:tcMar>
            <w:vAlign w:val="top"/>
          </w:tcPr>
          <w:p>
            <w:r>
              <w:t>Bulk disbursement orchestration and payment status for supported flows.</w:t>
            </w:r>
          </w:p>
        </w:tc>
      </w:tr>
      <w:tr>
        <w:tc>
          <w:tcPr>
            <w:tcW w:type="dxa" w:w="5040"/>
            <w:tcMar>
              <w:top w:w="90" w:type="dxa"/>
              <w:bottom w:w="90" w:type="dxa"/>
              <w:start w:w="110" w:type="dxa"/>
              <w:end w:w="110" w:type="dxa"/>
            </w:tcMar>
            <w:vAlign w:val="top"/>
          </w:tcPr>
          <w:p>
            <w:r>
              <w:t>Anchor / Ramp Partner</w:t>
            </w:r>
          </w:p>
        </w:tc>
        <w:tc>
          <w:tcPr>
            <w:tcW w:type="dxa" w:w="5040"/>
            <w:tcMar>
              <w:top w:w="90" w:type="dxa"/>
              <w:bottom w:w="90" w:type="dxa"/>
              <w:start w:w="110" w:type="dxa"/>
              <w:end w:w="110" w:type="dxa"/>
            </w:tcMar>
            <w:vAlign w:val="top"/>
          </w:tcPr>
          <w:p>
            <w:r>
              <w:t>Fiat deposit/withdrawal and conversion according to supported corridor, KYC/KYB and payment rails.</w:t>
            </w:r>
          </w:p>
        </w:tc>
      </w:tr>
      <w:tr>
        <w:tc>
          <w:tcPr>
            <w:tcW w:type="dxa" w:w="5040"/>
            <w:tcMar>
              <w:top w:w="90" w:type="dxa"/>
              <w:bottom w:w="90" w:type="dxa"/>
              <w:start w:w="110" w:type="dxa"/>
              <w:end w:w="110" w:type="dxa"/>
            </w:tcMar>
            <w:vAlign w:val="top"/>
          </w:tcPr>
          <w:p>
            <w:r>
              <w:t>HarambeeOne Settlement Gateway</w:t>
            </w:r>
          </w:p>
        </w:tc>
        <w:tc>
          <w:tcPr>
            <w:tcW w:type="dxa" w:w="5040"/>
            <w:tcMar>
              <w:top w:w="90" w:type="dxa"/>
              <w:bottom w:w="90" w:type="dxa"/>
              <w:start w:w="110" w:type="dxa"/>
              <w:end w:w="110" w:type="dxa"/>
            </w:tcMar>
            <w:vAlign w:val="top"/>
          </w:tcPr>
          <w:p>
            <w:r>
              <w:t>Orchestrates quotes, references, statuses and reconciliation without pretending to be the regulated exchange.</w:t>
            </w:r>
          </w:p>
        </w:tc>
      </w:tr>
    </w:tbl>
    <w:p>
      <w:pPr>
        <w:spacing w:after="20"/>
      </w:pPr>
    </w:p>
    <w:p>
      <w:r>
        <w:t>Stellar anchors connect traditional financial rails and Stellar assets. SEP-24 supports hosted deposit/withdrawal flows, while other Stellar standards cover authentication, KYC exchange and quotes. The exact Uganda UGX corridor must be validated with a real provider before production.</w:t>
      </w:r>
    </w:p>
    <w:p>
      <w:pPr>
        <w:pStyle w:val="Heading1"/>
      </w:pPr>
      <w:r>
        <w:t>13. Funding Flows</w:t>
      </w:r>
    </w:p>
    <w:p>
      <w:pPr>
        <w:pStyle w:val="Heading2"/>
      </w:pPr>
      <w:r>
        <w:t>13.1 Ordinary school payment</w:t>
      </w:r>
    </w:p>
    <w:p>
      <w:r>
        <w:t>Parent/guardian → SchoolPay, bank, Mobile Money or cash → school receives UGX → HarambeeOne imports/records payment → reconciliation → learner ledger → receipt.</w:t>
      </w:r>
    </w:p>
    <w:p>
      <w:pPr>
        <w:pStyle w:val="Heading2"/>
      </w:pPr>
      <w:r>
        <w:t>13.2 Fiat-funded programmable sponsorship</w:t>
      </w:r>
    </w:p>
    <w:p>
      <w:r>
        <w:t>Sponsor fiat → approved on-ramp/payment partner → USDC on Stellar → programme funding contract → approved disbursement → off-ramp partner → UGX to school → settlement confirmation → learner ledger.</w:t>
      </w:r>
    </w:p>
    <w:p>
      <w:pPr>
        <w:pStyle w:val="Heading2"/>
      </w:pPr>
      <w:r>
        <w:t>13.3 Crypto-native sponsor</w:t>
      </w:r>
    </w:p>
    <w:p>
      <w:r>
        <w:t>Sponsor USDC → programme funding contract → approved disbursement → off-ramp where school requires UGX → school settlement → learner ledger.</w:t>
      </w:r>
    </w:p>
    <w:p>
      <w:pPr>
        <w:pStyle w:val="Heading2"/>
      </w:pPr>
      <w:r>
        <w:t>13.4 Local fiat sponsorship</w:t>
      </w:r>
    </w:p>
    <w:p>
      <w:r>
        <w:t>Where converting UGX → USDC → UGX adds no useful value, HarambeeOne may support a normal fiat sponsorship flow. Blockchain should not be forced into a transaction merely to create on-chain activity.</w:t>
      </w:r>
    </w:p>
    <w:p>
      <w:pPr>
        <w:pStyle w:val="Heading1"/>
      </w:pPr>
      <w:r>
        <w:t>14. Settlement State Machine</w:t>
      </w:r>
    </w:p>
    <w:tbl>
      <w:tblPr>
        <w:tblStyle w:val="TableGrid"/>
        <w:tblW w:type="auto" w:w="0"/>
        <w:jc w:val="center"/>
        <w:tblLook w:firstColumn="1" w:firstRow="1" w:lastColumn="0" w:lastRow="0" w:noHBand="0" w:noVBand="1" w:val="04A0"/>
      </w:tblPr>
      <w:tblGrid>
        <w:gridCol w:w="5040"/>
        <w:gridCol w:w="5040"/>
      </w:tblGrid>
      <w:tr>
        <w:tc>
          <w:tcPr>
            <w:tcW w:type="dxa" w:w="5040"/>
            <w:shd w:fill="246A73"/>
            <w:tcMar>
              <w:top w:w="90" w:type="dxa"/>
              <w:bottom w:w="90" w:type="dxa"/>
              <w:start w:w="110" w:type="dxa"/>
              <w:end w:w="110" w:type="dxa"/>
            </w:tcMar>
          </w:tcPr>
          <w:p>
            <w:r>
              <w:rPr>
                <w:b/>
                <w:color w:val="FFFFFF"/>
              </w:rPr>
              <w:t>State</w:t>
            </w:r>
          </w:p>
        </w:tc>
        <w:tc>
          <w:tcPr>
            <w:tcW w:type="dxa" w:w="5040"/>
            <w:shd w:fill="246A73"/>
            <w:tcMar>
              <w:top w:w="90" w:type="dxa"/>
              <w:bottom w:w="90" w:type="dxa"/>
              <w:start w:w="110" w:type="dxa"/>
              <w:end w:w="110" w:type="dxa"/>
            </w:tcMar>
          </w:tcPr>
          <w:p>
            <w:r>
              <w:rPr>
                <w:b/>
                <w:color w:val="FFFFFF"/>
              </w:rPr>
              <w:t>Required interpretation</w:t>
            </w:r>
          </w:p>
        </w:tc>
      </w:tr>
      <w:tr>
        <w:tc>
          <w:tcPr>
            <w:tcW w:type="dxa" w:w="5040"/>
            <w:tcMar>
              <w:top w:w="90" w:type="dxa"/>
              <w:bottom w:w="90" w:type="dxa"/>
              <w:start w:w="110" w:type="dxa"/>
              <w:end w:w="110" w:type="dxa"/>
            </w:tcMar>
            <w:vAlign w:val="top"/>
          </w:tcPr>
          <w:p>
            <w:r>
              <w:t>ALLOCATED</w:t>
            </w:r>
          </w:p>
        </w:tc>
        <w:tc>
          <w:tcPr>
            <w:tcW w:type="dxa" w:w="5040"/>
            <w:tcMar>
              <w:top w:w="90" w:type="dxa"/>
              <w:bottom w:w="90" w:type="dxa"/>
              <w:start w:w="110" w:type="dxa"/>
              <w:end w:w="110" w:type="dxa"/>
            </w:tcMar>
            <w:vAlign w:val="top"/>
          </w:tcPr>
          <w:p>
            <w:r>
              <w:t>Learner has a programme entitlement; no payment yet.</w:t>
            </w:r>
          </w:p>
        </w:tc>
      </w:tr>
      <w:tr>
        <w:tc>
          <w:tcPr>
            <w:tcW w:type="dxa" w:w="5040"/>
            <w:tcMar>
              <w:top w:w="90" w:type="dxa"/>
              <w:bottom w:w="90" w:type="dxa"/>
              <w:start w:w="110" w:type="dxa"/>
              <w:end w:w="110" w:type="dxa"/>
            </w:tcMar>
            <w:vAlign w:val="top"/>
          </w:tcPr>
          <w:p>
            <w:r>
              <w:t>AUTHORISED</w:t>
            </w:r>
          </w:p>
        </w:tc>
        <w:tc>
          <w:tcPr>
            <w:tcW w:type="dxa" w:w="5040"/>
            <w:tcMar>
              <w:top w:w="90" w:type="dxa"/>
              <w:bottom w:w="90" w:type="dxa"/>
              <w:start w:w="110" w:type="dxa"/>
              <w:end w:w="110" w:type="dxa"/>
            </w:tcMar>
            <w:vAlign w:val="top"/>
          </w:tcPr>
          <w:p>
            <w:r>
              <w:t>Required rules/approvals have passed.</w:t>
            </w:r>
          </w:p>
        </w:tc>
      </w:tr>
      <w:tr>
        <w:tc>
          <w:tcPr>
            <w:tcW w:type="dxa" w:w="5040"/>
            <w:tcMar>
              <w:top w:w="90" w:type="dxa"/>
              <w:bottom w:w="90" w:type="dxa"/>
              <w:start w:w="110" w:type="dxa"/>
              <w:end w:w="110" w:type="dxa"/>
            </w:tcMar>
            <w:vAlign w:val="top"/>
          </w:tcPr>
          <w:p>
            <w:r>
              <w:t>DISBURSEMENT_SUBMITTED</w:t>
            </w:r>
          </w:p>
        </w:tc>
        <w:tc>
          <w:tcPr>
            <w:tcW w:type="dxa" w:w="5040"/>
            <w:tcMar>
              <w:top w:w="90" w:type="dxa"/>
              <w:bottom w:w="90" w:type="dxa"/>
              <w:start w:w="110" w:type="dxa"/>
              <w:end w:w="110" w:type="dxa"/>
            </w:tcMar>
            <w:vAlign w:val="top"/>
          </w:tcPr>
          <w:p>
            <w:r>
              <w:t>Payment instruction submitted.</w:t>
            </w:r>
          </w:p>
        </w:tc>
      </w:tr>
      <w:tr>
        <w:tc>
          <w:tcPr>
            <w:tcW w:type="dxa" w:w="5040"/>
            <w:tcMar>
              <w:top w:w="90" w:type="dxa"/>
              <w:bottom w:w="90" w:type="dxa"/>
              <w:start w:w="110" w:type="dxa"/>
              <w:end w:w="110" w:type="dxa"/>
            </w:tcMar>
            <w:vAlign w:val="top"/>
          </w:tcPr>
          <w:p>
            <w:r>
              <w:t>ONCHAIN_SENT</w:t>
            </w:r>
          </w:p>
        </w:tc>
        <w:tc>
          <w:tcPr>
            <w:tcW w:type="dxa" w:w="5040"/>
            <w:tcMar>
              <w:top w:w="90" w:type="dxa"/>
              <w:bottom w:w="90" w:type="dxa"/>
              <w:start w:w="110" w:type="dxa"/>
              <w:end w:w="110" w:type="dxa"/>
            </w:tcMar>
            <w:vAlign w:val="top"/>
          </w:tcPr>
          <w:p>
            <w:r>
              <w:t>Stellar transfer confirmed.</w:t>
            </w:r>
          </w:p>
        </w:tc>
      </w:tr>
      <w:tr>
        <w:tc>
          <w:tcPr>
            <w:tcW w:type="dxa" w:w="5040"/>
            <w:tcMar>
              <w:top w:w="90" w:type="dxa"/>
              <w:bottom w:w="90" w:type="dxa"/>
              <w:start w:w="110" w:type="dxa"/>
              <w:end w:w="110" w:type="dxa"/>
            </w:tcMar>
            <w:vAlign w:val="top"/>
          </w:tcPr>
          <w:p>
            <w:r>
              <w:t>OFFRAMP_PROCESSING</w:t>
            </w:r>
          </w:p>
        </w:tc>
        <w:tc>
          <w:tcPr>
            <w:tcW w:type="dxa" w:w="5040"/>
            <w:tcMar>
              <w:top w:w="90" w:type="dxa"/>
              <w:bottom w:w="90" w:type="dxa"/>
              <w:start w:w="110" w:type="dxa"/>
              <w:end w:w="110" w:type="dxa"/>
            </w:tcMar>
            <w:vAlign w:val="top"/>
          </w:tcPr>
          <w:p>
            <w:r>
              <w:t>Provider is converting/settling fiat.</w:t>
            </w:r>
          </w:p>
        </w:tc>
      </w:tr>
      <w:tr>
        <w:tc>
          <w:tcPr>
            <w:tcW w:type="dxa" w:w="5040"/>
            <w:tcMar>
              <w:top w:w="90" w:type="dxa"/>
              <w:bottom w:w="90" w:type="dxa"/>
              <w:start w:w="110" w:type="dxa"/>
              <w:end w:w="110" w:type="dxa"/>
            </w:tcMar>
            <w:vAlign w:val="top"/>
          </w:tcPr>
          <w:p>
            <w:r>
              <w:t>FIAT_SETTLED</w:t>
            </w:r>
          </w:p>
        </w:tc>
        <w:tc>
          <w:tcPr>
            <w:tcW w:type="dxa" w:w="5040"/>
            <w:tcMar>
              <w:top w:w="90" w:type="dxa"/>
              <w:bottom w:w="90" w:type="dxa"/>
              <w:start w:w="110" w:type="dxa"/>
              <w:end w:w="110" w:type="dxa"/>
            </w:tcMar>
            <w:vAlign w:val="top"/>
          </w:tcPr>
          <w:p>
            <w:r>
              <w:t>School’s designated account has received the settlement.</w:t>
            </w:r>
          </w:p>
        </w:tc>
      </w:tr>
      <w:tr>
        <w:tc>
          <w:tcPr>
            <w:tcW w:type="dxa" w:w="5040"/>
            <w:tcMar>
              <w:top w:w="90" w:type="dxa"/>
              <w:bottom w:w="90" w:type="dxa"/>
              <w:start w:w="110" w:type="dxa"/>
              <w:end w:w="110" w:type="dxa"/>
            </w:tcMar>
            <w:vAlign w:val="top"/>
          </w:tcPr>
          <w:p>
            <w:r>
              <w:t>RECONCILED</w:t>
            </w:r>
          </w:p>
        </w:tc>
        <w:tc>
          <w:tcPr>
            <w:tcW w:type="dxa" w:w="5040"/>
            <w:tcMar>
              <w:top w:w="90" w:type="dxa"/>
              <w:bottom w:w="90" w:type="dxa"/>
              <w:start w:w="110" w:type="dxa"/>
              <w:end w:w="110" w:type="dxa"/>
            </w:tcMar>
            <w:vAlign w:val="top"/>
          </w:tcPr>
          <w:p>
            <w:r>
              <w:t>Settlement posted to the learner ledger.</w:t>
            </w:r>
          </w:p>
        </w:tc>
      </w:tr>
      <w:tr>
        <w:tc>
          <w:tcPr>
            <w:tcW w:type="dxa" w:w="5040"/>
            <w:tcMar>
              <w:top w:w="90" w:type="dxa"/>
              <w:bottom w:w="90" w:type="dxa"/>
              <w:start w:w="110" w:type="dxa"/>
              <w:end w:w="110" w:type="dxa"/>
            </w:tcMar>
            <w:vAlign w:val="top"/>
          </w:tcPr>
          <w:p>
            <w:r>
              <w:t>FAILED / RETURNED / REVIEW</w:t>
            </w:r>
          </w:p>
        </w:tc>
        <w:tc>
          <w:tcPr>
            <w:tcW w:type="dxa" w:w="5040"/>
            <w:tcMar>
              <w:top w:w="90" w:type="dxa"/>
              <w:bottom w:w="90" w:type="dxa"/>
              <w:start w:w="110" w:type="dxa"/>
              <w:end w:w="110" w:type="dxa"/>
            </w:tcMar>
            <w:vAlign w:val="top"/>
          </w:tcPr>
          <w:p>
            <w:r>
              <w:t>Exception requiring retry, reversal or investigation.</w:t>
            </w:r>
          </w:p>
        </w:tc>
      </w:tr>
    </w:tbl>
    <w:p>
      <w:pPr>
        <w:spacing w:after="20"/>
      </w:pPr>
    </w:p>
    <w:tbl>
      <w:tblPr>
        <w:tblW w:type="auto" w:w="0"/>
        <w:jc w:val="center"/>
        <w:tblLook w:firstColumn="1" w:firstRow="1" w:lastColumn="0" w:lastRow="0" w:noHBand="0" w:noVBand="1" w:val="04A0"/>
      </w:tblPr>
      <w:tblGrid>
        <w:gridCol w:w="10080"/>
      </w:tblGrid>
      <w:tr>
        <w:tc>
          <w:tcPr>
            <w:tcW w:type="dxa" w:w="10080"/>
            <w:shd w:fill="E9F3F2"/>
            <w:tcMar>
              <w:top w:w="120" w:type="dxa"/>
              <w:bottom w:w="120" w:type="dxa"/>
              <w:start w:w="160" w:type="dxa"/>
              <w:end w:w="160" w:type="dxa"/>
            </w:tcMar>
          </w:tcPr>
          <w:p>
            <w:r>
              <w:rPr>
                <w:b/>
                <w:color w:val="173F46"/>
              </w:rPr>
              <w:t>Critical rule</w:t>
              <w:br/>
            </w:r>
            <w:r>
              <w:t>A learner’s UGX school debt is not reduced merely because an on-chain transfer succeeded. The sponsor payment becomes a settled school payment only when the required fiat settlement is confirmed.</w:t>
            </w:r>
          </w:p>
        </w:tc>
      </w:tr>
    </w:tbl>
    <w:p>
      <w:pPr>
        <w:spacing w:after="0"/>
      </w:pPr>
    </w:p>
    <w:p>
      <w:pPr>
        <w:pStyle w:val="Heading1"/>
      </w:pPr>
      <w:r>
        <w:t>15. Funding Currency and FX</w:t>
      </w:r>
    </w:p>
    <w:p>
      <w:r>
        <w:t>The programme must distinguish the treasury asset from the beneficiary obligation currency. For Ugandan school fees, the entitlement should normally be denominated in UGX even if the treasury holds USDC.</w:t>
      </w:r>
    </w:p>
    <w:p>
      <w:pPr>
        <w:pStyle w:val="ListBullet"/>
      </w:pPr>
      <w:r>
        <w:t>Store gross funding, quote, exchange rate, provider fee, network fee, HarambeeOne fee where applicable, USDC amount and final UGX delivered.</w:t>
      </w:r>
    </w:p>
    <w:p>
      <w:pPr>
        <w:pStyle w:val="ListBullet"/>
      </w:pPr>
      <w:r>
        <w:t>Define who bears FX movement between allocation and settlement.</w:t>
      </w:r>
    </w:p>
    <w:p>
      <w:pPr>
        <w:pStyle w:val="ListBullet"/>
      </w:pPr>
      <w:r>
        <w:t>Show sponsors the expected net education value before commitment where the provider can quote it.</w:t>
      </w:r>
    </w:p>
    <w:p>
      <w:pPr>
        <w:pStyle w:val="ListBullet"/>
      </w:pPr>
      <w:r>
        <w:t>Do not silently absorb or hide conversion costs.</w:t>
      </w:r>
    </w:p>
    <w:p>
      <w:pPr>
        <w:pStyle w:val="Heading1"/>
      </w:pPr>
      <w:r>
        <w:t>16. AI and Intelligence Requirements</w:t>
      </w:r>
    </w:p>
    <w:p>
      <w:r>
        <w:t>AI is an assistance layer. Authoritative calculations and permission decisions come from deterministic application services.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246A73"/>
            <w:tcMar>
              <w:top w:w="90" w:type="dxa"/>
              <w:bottom w:w="90" w:type="dxa"/>
              <w:start w:w="110" w:type="dxa"/>
              <w:end w:w="110" w:type="dxa"/>
            </w:tcMar>
          </w:tcPr>
          <w:p>
            <w:r>
              <w:rPr>
                <w:b/>
                <w:color w:val="FFFFFF"/>
              </w:rPr>
              <w:t>Capability</w:t>
            </w:r>
          </w:p>
        </w:tc>
        <w:tc>
          <w:tcPr>
            <w:tcW w:type="dxa" w:w="3360"/>
            <w:shd w:fill="246A73"/>
            <w:tcMar>
              <w:top w:w="90" w:type="dxa"/>
              <w:bottom w:w="90" w:type="dxa"/>
              <w:start w:w="110" w:type="dxa"/>
              <w:end w:w="110" w:type="dxa"/>
            </w:tcMar>
          </w:tcPr>
          <w:p>
            <w:r>
              <w:rPr>
                <w:b/>
                <w:color w:val="FFFFFF"/>
              </w:rPr>
              <w:t>Allowed behaviour</w:t>
            </w:r>
          </w:p>
        </w:tc>
        <w:tc>
          <w:tcPr>
            <w:tcW w:type="dxa" w:w="3360"/>
            <w:shd w:fill="246A73"/>
            <w:tcMar>
              <w:top w:w="90" w:type="dxa"/>
              <w:bottom w:w="90" w:type="dxa"/>
              <w:start w:w="110" w:type="dxa"/>
              <w:end w:w="110" w:type="dxa"/>
            </w:tcMar>
          </w:tcPr>
          <w:p>
            <w:r>
              <w:rPr>
                <w:b/>
                <w:color w:val="FFFFFF"/>
              </w:rPr>
              <w:t>Not allowed</w:t>
            </w:r>
          </w:p>
        </w:tc>
      </w:tr>
      <w:tr>
        <w:tc>
          <w:tcPr>
            <w:tcW w:type="dxa" w:w="3360"/>
            <w:tcMar>
              <w:top w:w="90" w:type="dxa"/>
              <w:bottom w:w="90" w:type="dxa"/>
              <w:start w:w="110" w:type="dxa"/>
              <w:end w:w="110" w:type="dxa"/>
            </w:tcMar>
            <w:vAlign w:val="top"/>
          </w:tcPr>
          <w:p>
            <w:r>
              <w:t>Payment matching</w:t>
            </w:r>
          </w:p>
        </w:tc>
        <w:tc>
          <w:tcPr>
            <w:tcW w:type="dxa" w:w="3360"/>
            <w:tcMar>
              <w:top w:w="90" w:type="dxa"/>
              <w:bottom w:w="90" w:type="dxa"/>
              <w:start w:w="110" w:type="dxa"/>
              <w:end w:w="110" w:type="dxa"/>
            </w:tcMar>
            <w:vAlign w:val="top"/>
          </w:tcPr>
          <w:p>
            <w:r>
              <w:t>Suggest likely learner and explain confidence</w:t>
            </w:r>
          </w:p>
        </w:tc>
        <w:tc>
          <w:tcPr>
            <w:tcW w:type="dxa" w:w="3360"/>
            <w:tcMar>
              <w:top w:w="90" w:type="dxa"/>
              <w:bottom w:w="90" w:type="dxa"/>
              <w:start w:w="110" w:type="dxa"/>
              <w:end w:w="110" w:type="dxa"/>
            </w:tcMar>
            <w:vAlign w:val="top"/>
          </w:tcPr>
          <w:p>
            <w:r>
              <w:t>Automatically merge uncertain identities</w:t>
            </w:r>
          </w:p>
        </w:tc>
      </w:tr>
      <w:tr>
        <w:tc>
          <w:tcPr>
            <w:tcW w:type="dxa" w:w="3360"/>
            <w:tcMar>
              <w:top w:w="90" w:type="dxa"/>
              <w:bottom w:w="90" w:type="dxa"/>
              <w:start w:w="110" w:type="dxa"/>
              <w:end w:w="110" w:type="dxa"/>
            </w:tcMar>
            <w:vAlign w:val="top"/>
          </w:tcPr>
          <w:p>
            <w:r>
              <w:t>Anomaly detection</w:t>
            </w:r>
          </w:p>
        </w:tc>
        <w:tc>
          <w:tcPr>
            <w:tcW w:type="dxa" w:w="3360"/>
            <w:tcMar>
              <w:top w:w="90" w:type="dxa"/>
              <w:bottom w:w="90" w:type="dxa"/>
              <w:start w:w="110" w:type="dxa"/>
              <w:end w:w="110" w:type="dxa"/>
            </w:tcMar>
            <w:vAlign w:val="top"/>
          </w:tcPr>
          <w:p>
            <w:r>
              <w:t>Flag unusual adjustment, duplicate or pattern</w:t>
            </w:r>
          </w:p>
        </w:tc>
        <w:tc>
          <w:tcPr>
            <w:tcW w:type="dxa" w:w="3360"/>
            <w:tcMar>
              <w:top w:w="90" w:type="dxa"/>
              <w:bottom w:w="90" w:type="dxa"/>
              <w:start w:w="110" w:type="dxa"/>
              <w:end w:w="110" w:type="dxa"/>
            </w:tcMar>
            <w:vAlign w:val="top"/>
          </w:tcPr>
          <w:p>
            <w:r>
              <w:t>Declare fraud as a fact</w:t>
            </w:r>
          </w:p>
        </w:tc>
      </w:tr>
      <w:tr>
        <w:tc>
          <w:tcPr>
            <w:tcW w:type="dxa" w:w="3360"/>
            <w:tcMar>
              <w:top w:w="90" w:type="dxa"/>
              <w:bottom w:w="90" w:type="dxa"/>
              <w:start w:w="110" w:type="dxa"/>
              <w:end w:w="110" w:type="dxa"/>
            </w:tcMar>
            <w:vAlign w:val="top"/>
          </w:tcPr>
          <w:p>
            <w:r>
              <w:t>Natural-language reporting</w:t>
            </w:r>
          </w:p>
        </w:tc>
        <w:tc>
          <w:tcPr>
            <w:tcW w:type="dxa" w:w="3360"/>
            <w:tcMar>
              <w:top w:w="90" w:type="dxa"/>
              <w:bottom w:w="90" w:type="dxa"/>
              <w:start w:w="110" w:type="dxa"/>
              <w:end w:w="110" w:type="dxa"/>
            </w:tcMar>
            <w:vAlign w:val="top"/>
          </w:tcPr>
          <w:p>
            <w:r>
              <w:t>Translate a user question into authorised data queries and explain returned results</w:t>
            </w:r>
          </w:p>
        </w:tc>
        <w:tc>
          <w:tcPr>
            <w:tcW w:type="dxa" w:w="3360"/>
            <w:tcMar>
              <w:top w:w="90" w:type="dxa"/>
              <w:bottom w:w="90" w:type="dxa"/>
              <w:start w:w="110" w:type="dxa"/>
              <w:end w:w="110" w:type="dxa"/>
            </w:tcMar>
            <w:vAlign w:val="top"/>
          </w:tcPr>
          <w:p>
            <w:r>
              <w:t>Invent balances or bypass access controls</w:t>
            </w:r>
          </w:p>
        </w:tc>
      </w:tr>
      <w:tr>
        <w:tc>
          <w:tcPr>
            <w:tcW w:type="dxa" w:w="3360"/>
            <w:tcMar>
              <w:top w:w="90" w:type="dxa"/>
              <w:bottom w:w="90" w:type="dxa"/>
              <w:start w:w="110" w:type="dxa"/>
              <w:end w:w="110" w:type="dxa"/>
            </w:tcMar>
            <w:vAlign w:val="top"/>
          </w:tcPr>
          <w:p>
            <w:r>
              <w:t>Support assistant</w:t>
            </w:r>
          </w:p>
        </w:tc>
        <w:tc>
          <w:tcPr>
            <w:tcW w:type="dxa" w:w="3360"/>
            <w:tcMar>
              <w:top w:w="90" w:type="dxa"/>
              <w:bottom w:w="90" w:type="dxa"/>
              <w:start w:w="110" w:type="dxa"/>
              <w:end w:w="110" w:type="dxa"/>
            </w:tcMar>
            <w:vAlign w:val="top"/>
          </w:tcPr>
          <w:p>
            <w:r>
              <w:t>Explain workflows, policies and system status</w:t>
            </w:r>
          </w:p>
        </w:tc>
        <w:tc>
          <w:tcPr>
            <w:tcW w:type="dxa" w:w="3360"/>
            <w:tcMar>
              <w:top w:w="90" w:type="dxa"/>
              <w:bottom w:w="90" w:type="dxa"/>
              <w:start w:w="110" w:type="dxa"/>
              <w:end w:w="110" w:type="dxa"/>
            </w:tcMar>
            <w:vAlign w:val="top"/>
          </w:tcPr>
          <w:p>
            <w:r>
              <w:t>Change money or records without the normal transaction path</w:t>
            </w:r>
          </w:p>
        </w:tc>
      </w:tr>
      <w:tr>
        <w:tc>
          <w:tcPr>
            <w:tcW w:type="dxa" w:w="3360"/>
            <w:tcMar>
              <w:top w:w="90" w:type="dxa"/>
              <w:bottom w:w="90" w:type="dxa"/>
              <w:start w:w="110" w:type="dxa"/>
              <w:end w:w="110" w:type="dxa"/>
            </w:tcMar>
            <w:vAlign w:val="top"/>
          </w:tcPr>
          <w:p>
            <w:r>
              <w:t>Local-language support</w:t>
            </w:r>
          </w:p>
        </w:tc>
        <w:tc>
          <w:tcPr>
            <w:tcW w:type="dxa" w:w="3360"/>
            <w:tcMar>
              <w:top w:w="90" w:type="dxa"/>
              <w:bottom w:w="90" w:type="dxa"/>
              <w:start w:w="110" w:type="dxa"/>
              <w:end w:w="110" w:type="dxa"/>
            </w:tcMar>
            <w:vAlign w:val="top"/>
          </w:tcPr>
          <w:p>
            <w:r>
              <w:t>Translate user input/output through approved service</w:t>
            </w:r>
          </w:p>
        </w:tc>
        <w:tc>
          <w:tcPr>
            <w:tcW w:type="dxa" w:w="3360"/>
            <w:tcMar>
              <w:top w:w="90" w:type="dxa"/>
              <w:bottom w:w="90" w:type="dxa"/>
              <w:start w:w="110" w:type="dxa"/>
              <w:end w:w="110" w:type="dxa"/>
            </w:tcMar>
            <w:vAlign w:val="top"/>
          </w:tcPr>
          <w:p>
            <w:r>
              <w:t>Send unrestricted student databases to a language model</w:t>
            </w:r>
          </w:p>
        </w:tc>
      </w:tr>
    </w:tbl>
    <w:p>
      <w:pPr>
        <w:spacing w:after="20"/>
      </w:pPr>
    </w:p>
    <w:tbl>
      <w:tblPr>
        <w:tblW w:type="auto" w:w="0"/>
        <w:jc w:val="center"/>
        <w:tblLook w:firstColumn="1" w:firstRow="1" w:lastColumn="0" w:lastRow="0" w:noHBand="0" w:noVBand="1" w:val="04A0"/>
      </w:tblPr>
      <w:tblGrid>
        <w:gridCol w:w="10080"/>
      </w:tblGrid>
      <w:tr>
        <w:tc>
          <w:tcPr>
            <w:tcW w:type="dxa" w:w="10080"/>
            <w:shd w:fill="E9F3F2"/>
            <w:tcMar>
              <w:top w:w="120" w:type="dxa"/>
              <w:bottom w:w="120" w:type="dxa"/>
              <w:start w:w="160" w:type="dxa"/>
              <w:end w:w="160" w:type="dxa"/>
            </w:tcMar>
          </w:tcPr>
          <w:p>
            <w:r>
              <w:rPr>
                <w:b/>
                <w:color w:val="173F46"/>
              </w:rPr>
              <w:t>AI control rule</w:t>
              <w:br/>
            </w:r>
            <w:r>
              <w:t>Services calculate. AI explains. Humans approve. Business rules execute.</w:t>
            </w:r>
          </w:p>
        </w:tc>
      </w:tr>
    </w:tbl>
    <w:p>
      <w:pPr>
        <w:spacing w:after="0"/>
      </w:pPr>
    </w:p>
    <w:p>
      <w:pPr>
        <w:pStyle w:val="Heading1"/>
      </w:pPr>
      <w:r>
        <w:t>17. Governance and Approval Policies</w:t>
      </w:r>
    </w:p>
    <w:p>
      <w:r>
        <w:t>V1 governance is financial governance, not a complete board-meeting application.</w:t>
      </w:r>
    </w:p>
    <w:p>
      <w:pPr>
        <w:pStyle w:val="ListBullet"/>
      </w:pPr>
      <w:r>
        <w:t>Schools define roles such as bursar, head teacher, administrator, owner/director and board member.</w:t>
      </w:r>
    </w:p>
    <w:p>
      <w:pPr>
        <w:pStyle w:val="ListBullet"/>
      </w:pPr>
      <w:r>
        <w:t>Sensitive actions can require one or more approvals depending on amount and action type.</w:t>
      </w:r>
    </w:p>
    <w:p>
      <w:pPr>
        <w:pStyle w:val="ListBullet"/>
      </w:pPr>
      <w:r>
        <w:t>Examples: large fee adjustment, waiver, refund, settlement-account change, sponsor payout destination change or policy change.</w:t>
      </w:r>
    </w:p>
    <w:p>
      <w:pPr>
        <w:pStyle w:val="ListBullet"/>
      </w:pPr>
      <w:r>
        <w:t>For schools with multiple owners/governors, a configurable threshold such as majority approval can be used where it matches the institution’s legally adopted policy.</w:t>
      </w:r>
    </w:p>
    <w:p>
      <w:pPr>
        <w:pStyle w:val="ListBullet"/>
      </w:pPr>
      <w:r>
        <w:t>HarambeeOne must not claim that a default 51% rule is legally correct for every school. The school’s authorised governance policy controls the configured threshold.</w:t>
      </w:r>
    </w:p>
    <w:p>
      <w:pPr>
        <w:pStyle w:val="ListBullet"/>
      </w:pPr>
      <w:r>
        <w:t>Where the approval controls an on-chain programme asset, Soroban may enforce the required authorisation.</w:t>
      </w:r>
    </w:p>
    <w:p>
      <w:pPr>
        <w:pStyle w:val="Heading1"/>
      </w:pPr>
      <w:r>
        <w:t>18. Notifications and Parent Access</w:t>
      </w:r>
    </w:p>
    <w:p>
      <w:pPr>
        <w:pStyle w:val="ListBullet"/>
      </w:pPr>
      <w:r>
        <w:t>SMS: payment receipt, balance alert, sponsorship confirmation, OTP/security alert and selected reminders.</w:t>
      </w:r>
    </w:p>
    <w:p>
      <w:pPr>
        <w:pStyle w:val="ListBullet"/>
      </w:pPr>
      <w:r>
        <w:t>Email: receipts, reports and staff/sponsor notifications.</w:t>
      </w:r>
    </w:p>
    <w:p>
      <w:pPr>
        <w:pStyle w:val="ListBullet"/>
      </w:pPr>
      <w:r>
        <w:t>In-app: dashboards, alerts and approval requests.</w:t>
      </w:r>
    </w:p>
    <w:p>
      <w:pPr>
        <w:pStyle w:val="ListBullet"/>
      </w:pPr>
      <w:r>
        <w:t>Future USSD: balance, latest payment, receipt reference and sponsorship status for parents without smartphones.</w:t>
      </w:r>
    </w:p>
    <w:p>
      <w:pPr>
        <w:pStyle w:val="ListBullet"/>
      </w:pPr>
      <w:r>
        <w:t>USSD requires verified phone-to-guardian binding and a PIN or equivalent protection.</w:t>
      </w:r>
    </w:p>
    <w:p>
      <w:pPr>
        <w:pStyle w:val="ListBullet"/>
      </w:pPr>
      <w:r>
        <w:t>SMS should avoid exposing unnecessary child information on shared or recycled phone numbers.</w:t>
      </w:r>
    </w:p>
    <w:p>
      <w:pPr>
        <w:pStyle w:val="Heading1"/>
      </w:pPr>
      <w:r>
        <w:t>19. Local Language Support</w:t>
      </w:r>
    </w:p>
    <w:p>
      <w:r>
        <w:t>Sunbird AI can be integrated as a language service for supported Ugandan languages. The integration is optional and must fail gracefully: registration, payments and settlement continue if the language service is unavailable.</w:t>
      </w:r>
    </w:p>
    <w:p>
      <w:pPr>
        <w:pStyle w:val="ListBullet"/>
      </w:pPr>
      <w:r>
        <w:t>Language service receives the minimum text/context necessary.</w:t>
      </w:r>
    </w:p>
    <w:p>
      <w:pPr>
        <w:pStyle w:val="ListBullet"/>
      </w:pPr>
      <w:r>
        <w:t>Private database access is never granted directly to the translation provider.</w:t>
      </w:r>
    </w:p>
    <w:p>
      <w:pPr>
        <w:pStyle w:val="ListBullet"/>
      </w:pPr>
      <w:r>
        <w:t>English remains a reliable fallback.</w:t>
      </w:r>
    </w:p>
    <w:p>
      <w:pPr>
        <w:pStyle w:val="ListBullet"/>
      </w:pPr>
      <w:r>
        <w:t>Translated financial values come from the authoritative backend, not from model calculation.</w:t>
      </w:r>
    </w:p>
    <w:p>
      <w:pPr>
        <w:pStyle w:val="Heading1"/>
      </w:pPr>
      <w:r>
        <w:t>20. Data Model - Core Entities</w:t>
      </w:r>
    </w:p>
    <w:tbl>
      <w:tblPr>
        <w:tblStyle w:val="TableGrid"/>
        <w:tblW w:type="auto" w:w="0"/>
        <w:jc w:val="center"/>
        <w:tblLook w:firstColumn="1" w:firstRow="1" w:lastColumn="0" w:lastRow="0" w:noHBand="0" w:noVBand="1" w:val="04A0"/>
      </w:tblPr>
      <w:tblGrid>
        <w:gridCol w:w="5040"/>
        <w:gridCol w:w="5040"/>
      </w:tblGrid>
      <w:tr>
        <w:tc>
          <w:tcPr>
            <w:tcW w:type="dxa" w:w="5040"/>
            <w:shd w:fill="246A73"/>
            <w:tcMar>
              <w:top w:w="90" w:type="dxa"/>
              <w:bottom w:w="90" w:type="dxa"/>
              <w:start w:w="110" w:type="dxa"/>
              <w:end w:w="110" w:type="dxa"/>
            </w:tcMar>
          </w:tcPr>
          <w:p>
            <w:r>
              <w:rPr>
                <w:b/>
                <w:color w:val="FFFFFF"/>
              </w:rPr>
              <w:t>Entity</w:t>
            </w:r>
          </w:p>
        </w:tc>
        <w:tc>
          <w:tcPr>
            <w:tcW w:type="dxa" w:w="5040"/>
            <w:shd w:fill="246A73"/>
            <w:tcMar>
              <w:top w:w="90" w:type="dxa"/>
              <w:bottom w:w="90" w:type="dxa"/>
              <w:start w:w="110" w:type="dxa"/>
              <w:end w:w="110" w:type="dxa"/>
            </w:tcMar>
          </w:tcPr>
          <w:p>
            <w:r>
              <w:rPr>
                <w:b/>
                <w:color w:val="FFFFFF"/>
              </w:rPr>
              <w:t>Purpose</w:t>
            </w:r>
          </w:p>
        </w:tc>
      </w:tr>
      <w:tr>
        <w:tc>
          <w:tcPr>
            <w:tcW w:type="dxa" w:w="5040"/>
            <w:tcMar>
              <w:top w:w="90" w:type="dxa"/>
              <w:bottom w:w="90" w:type="dxa"/>
              <w:start w:w="110" w:type="dxa"/>
              <w:end w:w="110" w:type="dxa"/>
            </w:tcMar>
            <w:vAlign w:val="top"/>
          </w:tcPr>
          <w:p>
            <w:r>
              <w:t>Tenant / Organisation</w:t>
            </w:r>
          </w:p>
        </w:tc>
        <w:tc>
          <w:tcPr>
            <w:tcW w:type="dxa" w:w="5040"/>
            <w:tcMar>
              <w:top w:w="90" w:type="dxa"/>
              <w:bottom w:w="90" w:type="dxa"/>
              <w:start w:w="110" w:type="dxa"/>
              <w:end w:w="110" w:type="dxa"/>
            </w:tcMar>
            <w:vAlign w:val="top"/>
          </w:tcPr>
          <w:p>
            <w:r>
              <w:t>School, sponsor or platform organisation boundary.</w:t>
            </w:r>
          </w:p>
        </w:tc>
      </w:tr>
      <w:tr>
        <w:tc>
          <w:tcPr>
            <w:tcW w:type="dxa" w:w="5040"/>
            <w:tcMar>
              <w:top w:w="90" w:type="dxa"/>
              <w:bottom w:w="90" w:type="dxa"/>
              <w:start w:w="110" w:type="dxa"/>
              <w:end w:w="110" w:type="dxa"/>
            </w:tcMar>
            <w:vAlign w:val="top"/>
          </w:tcPr>
          <w:p>
            <w:r>
              <w:t>User</w:t>
            </w:r>
          </w:p>
        </w:tc>
        <w:tc>
          <w:tcPr>
            <w:tcW w:type="dxa" w:w="5040"/>
            <w:tcMar>
              <w:top w:w="90" w:type="dxa"/>
              <w:bottom w:w="90" w:type="dxa"/>
              <w:start w:w="110" w:type="dxa"/>
              <w:end w:w="110" w:type="dxa"/>
            </w:tcMar>
            <w:vAlign w:val="top"/>
          </w:tcPr>
          <w:p>
            <w:r>
              <w:t>Authenticated person with one or more roles.</w:t>
            </w:r>
          </w:p>
        </w:tc>
      </w:tr>
      <w:tr>
        <w:tc>
          <w:tcPr>
            <w:tcW w:type="dxa" w:w="5040"/>
            <w:tcMar>
              <w:top w:w="90" w:type="dxa"/>
              <w:bottom w:w="90" w:type="dxa"/>
              <w:start w:w="110" w:type="dxa"/>
              <w:end w:w="110" w:type="dxa"/>
            </w:tcMar>
            <w:vAlign w:val="top"/>
          </w:tcPr>
          <w:p>
            <w:r>
              <w:t>Role / Permission</w:t>
            </w:r>
          </w:p>
        </w:tc>
        <w:tc>
          <w:tcPr>
            <w:tcW w:type="dxa" w:w="5040"/>
            <w:tcMar>
              <w:top w:w="90" w:type="dxa"/>
              <w:bottom w:w="90" w:type="dxa"/>
              <w:start w:w="110" w:type="dxa"/>
              <w:end w:w="110" w:type="dxa"/>
            </w:tcMar>
            <w:vAlign w:val="top"/>
          </w:tcPr>
          <w:p>
            <w:r>
              <w:t>Least-privilege access definition.</w:t>
            </w:r>
          </w:p>
        </w:tc>
      </w:tr>
      <w:tr>
        <w:tc>
          <w:tcPr>
            <w:tcW w:type="dxa" w:w="5040"/>
            <w:tcMar>
              <w:top w:w="90" w:type="dxa"/>
              <w:bottom w:w="90" w:type="dxa"/>
              <w:start w:w="110" w:type="dxa"/>
              <w:end w:w="110" w:type="dxa"/>
            </w:tcMar>
            <w:vAlign w:val="top"/>
          </w:tcPr>
          <w:p>
            <w:r>
              <w:t>School</w:t>
            </w:r>
          </w:p>
        </w:tc>
        <w:tc>
          <w:tcPr>
            <w:tcW w:type="dxa" w:w="5040"/>
            <w:tcMar>
              <w:top w:w="90" w:type="dxa"/>
              <w:bottom w:w="90" w:type="dxa"/>
              <w:start w:w="110" w:type="dxa"/>
              <w:end w:w="110" w:type="dxa"/>
            </w:tcMar>
            <w:vAlign w:val="top"/>
          </w:tcPr>
          <w:p>
            <w:r>
              <w:t>Institution profile and verification status.</w:t>
            </w:r>
          </w:p>
        </w:tc>
      </w:tr>
      <w:tr>
        <w:tc>
          <w:tcPr>
            <w:tcW w:type="dxa" w:w="5040"/>
            <w:tcMar>
              <w:top w:w="90" w:type="dxa"/>
              <w:bottom w:w="90" w:type="dxa"/>
              <w:start w:w="110" w:type="dxa"/>
              <w:end w:w="110" w:type="dxa"/>
            </w:tcMar>
            <w:vAlign w:val="top"/>
          </w:tcPr>
          <w:p>
            <w:r>
              <w:t>Section / Class / Stream</w:t>
            </w:r>
          </w:p>
        </w:tc>
        <w:tc>
          <w:tcPr>
            <w:tcW w:type="dxa" w:w="5040"/>
            <w:tcMar>
              <w:top w:w="90" w:type="dxa"/>
              <w:bottom w:w="90" w:type="dxa"/>
              <w:start w:w="110" w:type="dxa"/>
              <w:end w:w="110" w:type="dxa"/>
            </w:tcMar>
            <w:vAlign w:val="top"/>
          </w:tcPr>
          <w:p>
            <w:r>
              <w:t>Configurable school structure.</w:t>
            </w:r>
          </w:p>
        </w:tc>
      </w:tr>
      <w:tr>
        <w:tc>
          <w:tcPr>
            <w:tcW w:type="dxa" w:w="5040"/>
            <w:tcMar>
              <w:top w:w="90" w:type="dxa"/>
              <w:bottom w:w="90" w:type="dxa"/>
              <w:start w:w="110" w:type="dxa"/>
              <w:end w:w="110" w:type="dxa"/>
            </w:tcMar>
            <w:vAlign w:val="top"/>
          </w:tcPr>
          <w:p>
            <w:r>
              <w:t>Academic Year / Term</w:t>
            </w:r>
          </w:p>
        </w:tc>
        <w:tc>
          <w:tcPr>
            <w:tcW w:type="dxa" w:w="5040"/>
            <w:tcMar>
              <w:top w:w="90" w:type="dxa"/>
              <w:bottom w:w="90" w:type="dxa"/>
              <w:start w:w="110" w:type="dxa"/>
              <w:end w:w="110" w:type="dxa"/>
            </w:tcMar>
            <w:vAlign w:val="top"/>
          </w:tcPr>
          <w:p>
            <w:r>
              <w:t>Time periods for enrollment and fees.</w:t>
            </w:r>
          </w:p>
        </w:tc>
      </w:tr>
      <w:tr>
        <w:tc>
          <w:tcPr>
            <w:tcW w:type="dxa" w:w="5040"/>
            <w:tcMar>
              <w:top w:w="90" w:type="dxa"/>
              <w:bottom w:w="90" w:type="dxa"/>
              <w:start w:w="110" w:type="dxa"/>
              <w:end w:w="110" w:type="dxa"/>
            </w:tcMar>
            <w:vAlign w:val="top"/>
          </w:tcPr>
          <w:p>
            <w:r>
              <w:t>Student</w:t>
            </w:r>
          </w:p>
        </w:tc>
        <w:tc>
          <w:tcPr>
            <w:tcW w:type="dxa" w:w="5040"/>
            <w:tcMar>
              <w:top w:w="90" w:type="dxa"/>
              <w:bottom w:w="90" w:type="dxa"/>
              <w:start w:w="110" w:type="dxa"/>
              <w:end w:w="110" w:type="dxa"/>
            </w:tcMar>
            <w:vAlign w:val="top"/>
          </w:tcPr>
          <w:p>
            <w:r>
              <w:t>Persistent learner identity within authorised scope.</w:t>
            </w:r>
          </w:p>
        </w:tc>
      </w:tr>
      <w:tr>
        <w:tc>
          <w:tcPr>
            <w:tcW w:type="dxa" w:w="5040"/>
            <w:tcMar>
              <w:top w:w="90" w:type="dxa"/>
              <w:bottom w:w="90" w:type="dxa"/>
              <w:start w:w="110" w:type="dxa"/>
              <w:end w:w="110" w:type="dxa"/>
            </w:tcMar>
            <w:vAlign w:val="top"/>
          </w:tcPr>
          <w:p>
            <w:r>
              <w:t>Guardian Relationship</w:t>
            </w:r>
          </w:p>
        </w:tc>
        <w:tc>
          <w:tcPr>
            <w:tcW w:type="dxa" w:w="5040"/>
            <w:tcMar>
              <w:top w:w="90" w:type="dxa"/>
              <w:bottom w:w="90" w:type="dxa"/>
              <w:start w:w="110" w:type="dxa"/>
              <w:end w:w="110" w:type="dxa"/>
            </w:tcMar>
            <w:vAlign w:val="top"/>
          </w:tcPr>
          <w:p>
            <w:r>
              <w:t>Links authorised guardians to learners.</w:t>
            </w:r>
          </w:p>
        </w:tc>
      </w:tr>
      <w:tr>
        <w:tc>
          <w:tcPr>
            <w:tcW w:type="dxa" w:w="5040"/>
            <w:tcMar>
              <w:top w:w="90" w:type="dxa"/>
              <w:bottom w:w="90" w:type="dxa"/>
              <w:start w:w="110" w:type="dxa"/>
              <w:end w:w="110" w:type="dxa"/>
            </w:tcMar>
            <w:vAlign w:val="top"/>
          </w:tcPr>
          <w:p>
            <w:r>
              <w:t>Enrollment</w:t>
            </w:r>
          </w:p>
        </w:tc>
        <w:tc>
          <w:tcPr>
            <w:tcW w:type="dxa" w:w="5040"/>
            <w:tcMar>
              <w:top w:w="90" w:type="dxa"/>
              <w:bottom w:w="90" w:type="dxa"/>
              <w:start w:w="110" w:type="dxa"/>
              <w:end w:w="110" w:type="dxa"/>
            </w:tcMar>
            <w:vAlign w:val="top"/>
          </w:tcPr>
          <w:p>
            <w:r>
              <w:t>Learner placement in a school/class/stream/time period.</w:t>
            </w:r>
          </w:p>
        </w:tc>
      </w:tr>
      <w:tr>
        <w:tc>
          <w:tcPr>
            <w:tcW w:type="dxa" w:w="5040"/>
            <w:tcMar>
              <w:top w:w="90" w:type="dxa"/>
              <w:bottom w:w="90" w:type="dxa"/>
              <w:start w:w="110" w:type="dxa"/>
              <w:end w:w="110" w:type="dxa"/>
            </w:tcMar>
            <w:vAlign w:val="top"/>
          </w:tcPr>
          <w:p>
            <w:r>
              <w:t>Fee Structure</w:t>
            </w:r>
          </w:p>
        </w:tc>
        <w:tc>
          <w:tcPr>
            <w:tcW w:type="dxa" w:w="5040"/>
            <w:tcMar>
              <w:top w:w="90" w:type="dxa"/>
              <w:bottom w:w="90" w:type="dxa"/>
              <w:start w:w="110" w:type="dxa"/>
              <w:end w:w="110" w:type="dxa"/>
            </w:tcMar>
            <w:vAlign w:val="top"/>
          </w:tcPr>
          <w:p>
            <w:r>
              <w:t>Charges applicable to a learner category.</w:t>
            </w:r>
          </w:p>
        </w:tc>
      </w:tr>
      <w:tr>
        <w:tc>
          <w:tcPr>
            <w:tcW w:type="dxa" w:w="5040"/>
            <w:tcMar>
              <w:top w:w="90" w:type="dxa"/>
              <w:bottom w:w="90" w:type="dxa"/>
              <w:start w:w="110" w:type="dxa"/>
              <w:end w:w="110" w:type="dxa"/>
            </w:tcMar>
            <w:vAlign w:val="top"/>
          </w:tcPr>
          <w:p>
            <w:r>
              <w:t>Ledger Account / Ledger Entry</w:t>
            </w:r>
          </w:p>
        </w:tc>
        <w:tc>
          <w:tcPr>
            <w:tcW w:type="dxa" w:w="5040"/>
            <w:tcMar>
              <w:top w:w="90" w:type="dxa"/>
              <w:bottom w:w="90" w:type="dxa"/>
              <w:start w:w="110" w:type="dxa"/>
              <w:end w:w="110" w:type="dxa"/>
            </w:tcMar>
            <w:vAlign w:val="top"/>
          </w:tcPr>
          <w:p>
            <w:r>
              <w:t>Authoritative learner financial history.</w:t>
            </w:r>
          </w:p>
        </w:tc>
      </w:tr>
      <w:tr>
        <w:tc>
          <w:tcPr>
            <w:tcW w:type="dxa" w:w="5040"/>
            <w:tcMar>
              <w:top w:w="90" w:type="dxa"/>
              <w:bottom w:w="90" w:type="dxa"/>
              <w:start w:w="110" w:type="dxa"/>
              <w:end w:w="110" w:type="dxa"/>
            </w:tcMar>
            <w:vAlign w:val="top"/>
          </w:tcPr>
          <w:p>
            <w:r>
              <w:t>Payment</w:t>
            </w:r>
          </w:p>
        </w:tc>
        <w:tc>
          <w:tcPr>
            <w:tcW w:type="dxa" w:w="5040"/>
            <w:tcMar>
              <w:top w:w="90" w:type="dxa"/>
              <w:bottom w:w="90" w:type="dxa"/>
              <w:start w:w="110" w:type="dxa"/>
              <w:end w:w="110" w:type="dxa"/>
            </w:tcMar>
            <w:vAlign w:val="top"/>
          </w:tcPr>
          <w:p>
            <w:r>
              <w:t>Incoming payment event from a channel.</w:t>
            </w:r>
          </w:p>
        </w:tc>
      </w:tr>
      <w:tr>
        <w:tc>
          <w:tcPr>
            <w:tcW w:type="dxa" w:w="5040"/>
            <w:tcMar>
              <w:top w:w="90" w:type="dxa"/>
              <w:bottom w:w="90" w:type="dxa"/>
              <w:start w:w="110" w:type="dxa"/>
              <w:end w:w="110" w:type="dxa"/>
            </w:tcMar>
            <w:vAlign w:val="top"/>
          </w:tcPr>
          <w:p>
            <w:r>
              <w:t>Payment Allocation</w:t>
            </w:r>
          </w:p>
        </w:tc>
        <w:tc>
          <w:tcPr>
            <w:tcW w:type="dxa" w:w="5040"/>
            <w:tcMar>
              <w:top w:w="90" w:type="dxa"/>
              <w:bottom w:w="90" w:type="dxa"/>
              <w:start w:w="110" w:type="dxa"/>
              <w:end w:w="110" w:type="dxa"/>
            </w:tcMar>
            <w:vAlign w:val="top"/>
          </w:tcPr>
          <w:p>
            <w:r>
              <w:t>How a payment is applied to one or more learner obligations.</w:t>
            </w:r>
          </w:p>
        </w:tc>
      </w:tr>
      <w:tr>
        <w:tc>
          <w:tcPr>
            <w:tcW w:type="dxa" w:w="5040"/>
            <w:tcMar>
              <w:top w:w="90" w:type="dxa"/>
              <w:bottom w:w="90" w:type="dxa"/>
              <w:start w:w="110" w:type="dxa"/>
              <w:end w:w="110" w:type="dxa"/>
            </w:tcMar>
            <w:vAlign w:val="top"/>
          </w:tcPr>
          <w:p>
            <w:r>
              <w:t>Receipt</w:t>
            </w:r>
          </w:p>
        </w:tc>
        <w:tc>
          <w:tcPr>
            <w:tcW w:type="dxa" w:w="5040"/>
            <w:tcMar>
              <w:top w:w="90" w:type="dxa"/>
              <w:bottom w:w="90" w:type="dxa"/>
              <w:start w:w="110" w:type="dxa"/>
              <w:end w:w="110" w:type="dxa"/>
            </w:tcMar>
            <w:vAlign w:val="top"/>
          </w:tcPr>
          <w:p>
            <w:r>
              <w:t>Immutable reference to reconciled payment/allocation.</w:t>
            </w:r>
          </w:p>
        </w:tc>
      </w:tr>
      <w:tr>
        <w:tc>
          <w:tcPr>
            <w:tcW w:type="dxa" w:w="5040"/>
            <w:tcMar>
              <w:top w:w="90" w:type="dxa"/>
              <w:bottom w:w="90" w:type="dxa"/>
              <w:start w:w="110" w:type="dxa"/>
              <w:end w:w="110" w:type="dxa"/>
            </w:tcMar>
            <w:vAlign w:val="top"/>
          </w:tcPr>
          <w:p>
            <w:r>
              <w:t>Bursary / Waiver</w:t>
            </w:r>
          </w:p>
        </w:tc>
        <w:tc>
          <w:tcPr>
            <w:tcW w:type="dxa" w:w="5040"/>
            <w:tcMar>
              <w:top w:w="90" w:type="dxa"/>
              <w:bottom w:w="90" w:type="dxa"/>
              <w:start w:w="110" w:type="dxa"/>
              <w:end w:w="110" w:type="dxa"/>
            </w:tcMar>
            <w:vAlign w:val="top"/>
          </w:tcPr>
          <w:p>
            <w:r>
              <w:t>School-authorised financial support.</w:t>
            </w:r>
          </w:p>
        </w:tc>
      </w:tr>
      <w:tr>
        <w:tc>
          <w:tcPr>
            <w:tcW w:type="dxa" w:w="5040"/>
            <w:tcMar>
              <w:top w:w="90" w:type="dxa"/>
              <w:bottom w:w="90" w:type="dxa"/>
              <w:start w:w="110" w:type="dxa"/>
              <w:end w:w="110" w:type="dxa"/>
            </w:tcMar>
            <w:vAlign w:val="top"/>
          </w:tcPr>
          <w:p>
            <w:r>
              <w:t>Sponsor</w:t>
            </w:r>
          </w:p>
        </w:tc>
        <w:tc>
          <w:tcPr>
            <w:tcW w:type="dxa" w:w="5040"/>
            <w:tcMar>
              <w:top w:w="90" w:type="dxa"/>
              <w:bottom w:w="90" w:type="dxa"/>
              <w:start w:w="110" w:type="dxa"/>
              <w:end w:w="110" w:type="dxa"/>
            </w:tcMar>
            <w:vAlign w:val="top"/>
          </w:tcPr>
          <w:p>
            <w:r>
              <w:t>Individual or organisation funding education.</w:t>
            </w:r>
          </w:p>
        </w:tc>
      </w:tr>
      <w:tr>
        <w:tc>
          <w:tcPr>
            <w:tcW w:type="dxa" w:w="5040"/>
            <w:tcMar>
              <w:top w:w="90" w:type="dxa"/>
              <w:bottom w:w="90" w:type="dxa"/>
              <w:start w:w="110" w:type="dxa"/>
              <w:end w:w="110" w:type="dxa"/>
            </w:tcMar>
            <w:vAlign w:val="top"/>
          </w:tcPr>
          <w:p>
            <w:r>
              <w:t>Funding Programme</w:t>
            </w:r>
          </w:p>
        </w:tc>
        <w:tc>
          <w:tcPr>
            <w:tcW w:type="dxa" w:w="5040"/>
            <w:tcMar>
              <w:top w:w="90" w:type="dxa"/>
              <w:bottom w:w="90" w:type="dxa"/>
              <w:start w:w="110" w:type="dxa"/>
              <w:end w:w="110" w:type="dxa"/>
            </w:tcMar>
            <w:vAlign w:val="top"/>
          </w:tcPr>
          <w:p>
            <w:r>
              <w:t>Rules, budget, period and participating institutions.</w:t>
            </w:r>
          </w:p>
        </w:tc>
      </w:tr>
      <w:tr>
        <w:tc>
          <w:tcPr>
            <w:tcW w:type="dxa" w:w="5040"/>
            <w:tcMar>
              <w:top w:w="90" w:type="dxa"/>
              <w:bottom w:w="90" w:type="dxa"/>
              <w:start w:w="110" w:type="dxa"/>
              <w:end w:w="110" w:type="dxa"/>
            </w:tcMar>
            <w:vAlign w:val="top"/>
          </w:tcPr>
          <w:p>
            <w:r>
              <w:t>Beneficiary</w:t>
            </w:r>
          </w:p>
        </w:tc>
        <w:tc>
          <w:tcPr>
            <w:tcW w:type="dxa" w:w="5040"/>
            <w:tcMar>
              <w:top w:w="90" w:type="dxa"/>
              <w:bottom w:w="90" w:type="dxa"/>
              <w:start w:w="110" w:type="dxa"/>
              <w:end w:w="110" w:type="dxa"/>
            </w:tcMar>
            <w:vAlign w:val="top"/>
          </w:tcPr>
          <w:p>
            <w:r>
              <w:t>Programme-scoped learner reference.</w:t>
            </w:r>
          </w:p>
        </w:tc>
      </w:tr>
      <w:tr>
        <w:tc>
          <w:tcPr>
            <w:tcW w:type="dxa" w:w="5040"/>
            <w:tcMar>
              <w:top w:w="90" w:type="dxa"/>
              <w:bottom w:w="90" w:type="dxa"/>
              <w:start w:w="110" w:type="dxa"/>
              <w:end w:w="110" w:type="dxa"/>
            </w:tcMar>
            <w:vAlign w:val="top"/>
          </w:tcPr>
          <w:p>
            <w:r>
              <w:t>Allocation</w:t>
            </w:r>
          </w:p>
        </w:tc>
        <w:tc>
          <w:tcPr>
            <w:tcW w:type="dxa" w:w="5040"/>
            <w:tcMar>
              <w:top w:w="90" w:type="dxa"/>
              <w:bottom w:w="90" w:type="dxa"/>
              <w:start w:w="110" w:type="dxa"/>
              <w:end w:w="110" w:type="dxa"/>
            </w:tcMar>
            <w:vAlign w:val="top"/>
          </w:tcPr>
          <w:p>
            <w:r>
              <w:t>Entitlement assigned to beneficiary.</w:t>
            </w:r>
          </w:p>
        </w:tc>
      </w:tr>
      <w:tr>
        <w:tc>
          <w:tcPr>
            <w:tcW w:type="dxa" w:w="5040"/>
            <w:tcMar>
              <w:top w:w="90" w:type="dxa"/>
              <w:bottom w:w="90" w:type="dxa"/>
              <w:start w:w="110" w:type="dxa"/>
              <w:end w:w="110" w:type="dxa"/>
            </w:tcMar>
            <w:vAlign w:val="top"/>
          </w:tcPr>
          <w:p>
            <w:r>
              <w:t>Disbursement</w:t>
            </w:r>
          </w:p>
        </w:tc>
        <w:tc>
          <w:tcPr>
            <w:tcW w:type="dxa" w:w="5040"/>
            <w:tcMar>
              <w:top w:w="90" w:type="dxa"/>
              <w:bottom w:w="90" w:type="dxa"/>
              <w:start w:w="110" w:type="dxa"/>
              <w:end w:w="110" w:type="dxa"/>
            </w:tcMar>
            <w:vAlign w:val="top"/>
          </w:tcPr>
          <w:p>
            <w:r>
              <w:t>Payment instruction and on-chain/off-chain state.</w:t>
            </w:r>
          </w:p>
        </w:tc>
      </w:tr>
      <w:tr>
        <w:tc>
          <w:tcPr>
            <w:tcW w:type="dxa" w:w="5040"/>
            <w:tcMar>
              <w:top w:w="90" w:type="dxa"/>
              <w:bottom w:w="90" w:type="dxa"/>
              <w:start w:w="110" w:type="dxa"/>
              <w:end w:w="110" w:type="dxa"/>
            </w:tcMar>
            <w:vAlign w:val="top"/>
          </w:tcPr>
          <w:p>
            <w:r>
              <w:t>Settlement</w:t>
            </w:r>
          </w:p>
        </w:tc>
        <w:tc>
          <w:tcPr>
            <w:tcW w:type="dxa" w:w="5040"/>
            <w:tcMar>
              <w:top w:w="90" w:type="dxa"/>
              <w:bottom w:w="90" w:type="dxa"/>
              <w:start w:w="110" w:type="dxa"/>
              <w:end w:w="110" w:type="dxa"/>
            </w:tcMar>
            <w:vAlign w:val="top"/>
          </w:tcPr>
          <w:p>
            <w:r>
              <w:t>Final fiat delivery record.</w:t>
            </w:r>
          </w:p>
        </w:tc>
      </w:tr>
      <w:tr>
        <w:tc>
          <w:tcPr>
            <w:tcW w:type="dxa" w:w="5040"/>
            <w:tcMar>
              <w:top w:w="90" w:type="dxa"/>
              <w:bottom w:w="90" w:type="dxa"/>
              <w:start w:w="110" w:type="dxa"/>
              <w:end w:w="110" w:type="dxa"/>
            </w:tcMar>
            <w:vAlign w:val="top"/>
          </w:tcPr>
          <w:p>
            <w:r>
              <w:t>Approval Policy / Approval</w:t>
            </w:r>
          </w:p>
        </w:tc>
        <w:tc>
          <w:tcPr>
            <w:tcW w:type="dxa" w:w="5040"/>
            <w:tcMar>
              <w:top w:w="90" w:type="dxa"/>
              <w:bottom w:w="90" w:type="dxa"/>
              <w:start w:w="110" w:type="dxa"/>
              <w:end w:w="110" w:type="dxa"/>
            </w:tcMar>
            <w:vAlign w:val="top"/>
          </w:tcPr>
          <w:p>
            <w:r>
              <w:t>Required human authority and decision.</w:t>
            </w:r>
          </w:p>
        </w:tc>
      </w:tr>
      <w:tr>
        <w:tc>
          <w:tcPr>
            <w:tcW w:type="dxa" w:w="5040"/>
            <w:tcMar>
              <w:top w:w="90" w:type="dxa"/>
              <w:bottom w:w="90" w:type="dxa"/>
              <w:start w:w="110" w:type="dxa"/>
              <w:end w:w="110" w:type="dxa"/>
            </w:tcMar>
            <w:vAlign w:val="top"/>
          </w:tcPr>
          <w:p>
            <w:r>
              <w:t>Audit Event</w:t>
            </w:r>
          </w:p>
        </w:tc>
        <w:tc>
          <w:tcPr>
            <w:tcW w:type="dxa" w:w="5040"/>
            <w:tcMar>
              <w:top w:w="90" w:type="dxa"/>
              <w:bottom w:w="90" w:type="dxa"/>
              <w:start w:w="110" w:type="dxa"/>
              <w:end w:w="110" w:type="dxa"/>
            </w:tcMar>
            <w:vAlign w:val="top"/>
          </w:tcPr>
          <w:p>
            <w:r>
              <w:t>Who did what, when, where and through which session.</w:t>
            </w:r>
          </w:p>
        </w:tc>
      </w:tr>
      <w:tr>
        <w:tc>
          <w:tcPr>
            <w:tcW w:type="dxa" w:w="5040"/>
            <w:tcMar>
              <w:top w:w="90" w:type="dxa"/>
              <w:bottom w:w="90" w:type="dxa"/>
              <w:start w:w="110" w:type="dxa"/>
              <w:end w:w="110" w:type="dxa"/>
            </w:tcMar>
            <w:vAlign w:val="top"/>
          </w:tcPr>
          <w:p>
            <w:r>
              <w:t>Case / Dispute</w:t>
            </w:r>
          </w:p>
        </w:tc>
        <w:tc>
          <w:tcPr>
            <w:tcW w:type="dxa" w:w="5040"/>
            <w:tcMar>
              <w:top w:w="90" w:type="dxa"/>
              <w:bottom w:w="90" w:type="dxa"/>
              <w:start w:w="110" w:type="dxa"/>
              <w:end w:w="110" w:type="dxa"/>
            </w:tcMar>
            <w:vAlign w:val="top"/>
          </w:tcPr>
          <w:p>
            <w:r>
              <w:t>Exception investigation record.</w:t>
            </w:r>
          </w:p>
        </w:tc>
      </w:tr>
      <w:tr>
        <w:tc>
          <w:tcPr>
            <w:tcW w:type="dxa" w:w="5040"/>
            <w:tcMar>
              <w:top w:w="90" w:type="dxa"/>
              <w:bottom w:w="90" w:type="dxa"/>
              <w:start w:w="110" w:type="dxa"/>
              <w:end w:w="110" w:type="dxa"/>
            </w:tcMar>
            <w:vAlign w:val="top"/>
          </w:tcPr>
          <w:p>
            <w:r>
              <w:t>Document</w:t>
            </w:r>
          </w:p>
        </w:tc>
        <w:tc>
          <w:tcPr>
            <w:tcW w:type="dxa" w:w="5040"/>
            <w:tcMar>
              <w:top w:w="90" w:type="dxa"/>
              <w:bottom w:w="90" w:type="dxa"/>
              <w:start w:w="110" w:type="dxa"/>
              <w:end w:w="110" w:type="dxa"/>
            </w:tcMar>
            <w:vAlign w:val="top"/>
          </w:tcPr>
          <w:p>
            <w:r>
              <w:t>Metadata for encrypted external object storage.</w:t>
            </w:r>
          </w:p>
        </w:tc>
      </w:tr>
      <w:tr>
        <w:tc>
          <w:tcPr>
            <w:tcW w:type="dxa" w:w="5040"/>
            <w:tcMar>
              <w:top w:w="90" w:type="dxa"/>
              <w:bottom w:w="90" w:type="dxa"/>
              <w:start w:w="110" w:type="dxa"/>
              <w:end w:w="110" w:type="dxa"/>
            </w:tcMar>
            <w:vAlign w:val="top"/>
          </w:tcPr>
          <w:p>
            <w:r>
              <w:t>Integration Connection</w:t>
            </w:r>
          </w:p>
        </w:tc>
        <w:tc>
          <w:tcPr>
            <w:tcW w:type="dxa" w:w="5040"/>
            <w:tcMar>
              <w:top w:w="90" w:type="dxa"/>
              <w:bottom w:w="90" w:type="dxa"/>
              <w:start w:w="110" w:type="dxa"/>
              <w:end w:w="110" w:type="dxa"/>
            </w:tcMar>
            <w:vAlign w:val="top"/>
          </w:tcPr>
          <w:p>
            <w:r>
              <w:t>Provider credentials/configuration references.</w:t>
            </w:r>
          </w:p>
        </w:tc>
      </w:tr>
    </w:tbl>
    <w:p>
      <w:pPr>
        <w:spacing w:after="20"/>
      </w:pPr>
    </w:p>
    <w:p>
      <w:pPr>
        <w:pStyle w:val="Heading1"/>
      </w:pPr>
      <w:r>
        <w:t>21. Permissions and Tenant Isolation</w:t>
      </w:r>
    </w:p>
    <w:p>
      <w:pPr>
        <w:pStyle w:val="ListBullet"/>
      </w:pPr>
      <w:r>
        <w:t>Every school is a tenant boundary. School A staff cannot query School B records merely by changing an identifier.</w:t>
      </w:r>
    </w:p>
    <w:p>
      <w:pPr>
        <w:pStyle w:val="ListBullet"/>
      </w:pPr>
      <w:r>
        <w:t>Tenant enforcement must exist in backend authorization and database access patterns, not only in the UI.</w:t>
      </w:r>
    </w:p>
    <w:p>
      <w:pPr>
        <w:pStyle w:val="ListBullet"/>
      </w:pPr>
      <w:r>
        <w:t>Sponsor access is programme-scoped and disclosure-scoped.</w:t>
      </w:r>
    </w:p>
    <w:p>
      <w:pPr>
        <w:pStyle w:val="ListBullet"/>
      </w:pPr>
      <w:r>
        <w:t>Parents only see learners to whom they have an authorised relationship.</w:t>
      </w:r>
    </w:p>
    <w:p>
      <w:pPr>
        <w:pStyle w:val="ListBullet"/>
      </w:pPr>
      <w:r>
        <w:t>Platform support access is exceptional, logged and time-bound where possible.</w:t>
      </w:r>
    </w:p>
    <w:p>
      <w:pPr>
        <w:pStyle w:val="ListBullet"/>
      </w:pPr>
      <w:r>
        <w:t>AI tool access is generated from the same permission model; the model is never trusted to self-police permissions.</w:t>
      </w:r>
    </w:p>
    <w:p>
      <w:pPr>
        <w:pStyle w:val="Heading1"/>
      </w:pPr>
      <w:r>
        <w:t>22. Security Requirements</w:t>
      </w:r>
    </w:p>
    <w:tbl>
      <w:tblPr>
        <w:tblStyle w:val="TableGrid"/>
        <w:tblW w:type="auto" w:w="0"/>
        <w:jc w:val="center"/>
        <w:tblLook w:firstColumn="1" w:firstRow="1" w:lastColumn="0" w:lastRow="0" w:noHBand="0" w:noVBand="1" w:val="04A0"/>
      </w:tblPr>
      <w:tblGrid>
        <w:gridCol w:w="5040"/>
        <w:gridCol w:w="5040"/>
      </w:tblGrid>
      <w:tr>
        <w:tc>
          <w:tcPr>
            <w:tcW w:type="dxa" w:w="5040"/>
            <w:shd w:fill="246A73"/>
            <w:tcMar>
              <w:top w:w="90" w:type="dxa"/>
              <w:bottom w:w="90" w:type="dxa"/>
              <w:start w:w="110" w:type="dxa"/>
              <w:end w:w="110" w:type="dxa"/>
            </w:tcMar>
          </w:tcPr>
          <w:p>
            <w:r>
              <w:rPr>
                <w:b/>
                <w:color w:val="FFFFFF"/>
              </w:rPr>
              <w:t>Area</w:t>
            </w:r>
          </w:p>
        </w:tc>
        <w:tc>
          <w:tcPr>
            <w:tcW w:type="dxa" w:w="5040"/>
            <w:shd w:fill="246A73"/>
            <w:tcMar>
              <w:top w:w="90" w:type="dxa"/>
              <w:bottom w:w="90" w:type="dxa"/>
              <w:start w:w="110" w:type="dxa"/>
              <w:end w:w="110" w:type="dxa"/>
            </w:tcMar>
          </w:tcPr>
          <w:p>
            <w:r>
              <w:rPr>
                <w:b/>
                <w:color w:val="FFFFFF"/>
              </w:rPr>
              <w:t>Requirement</w:t>
            </w:r>
          </w:p>
        </w:tc>
      </w:tr>
      <w:tr>
        <w:tc>
          <w:tcPr>
            <w:tcW w:type="dxa" w:w="5040"/>
            <w:tcMar>
              <w:top w:w="90" w:type="dxa"/>
              <w:bottom w:w="90" w:type="dxa"/>
              <w:start w:w="110" w:type="dxa"/>
              <w:end w:w="110" w:type="dxa"/>
            </w:tcMar>
            <w:vAlign w:val="top"/>
          </w:tcPr>
          <w:p>
            <w:r>
              <w:t>Authentication</w:t>
            </w:r>
          </w:p>
        </w:tc>
        <w:tc>
          <w:tcPr>
            <w:tcW w:type="dxa" w:w="5040"/>
            <w:tcMar>
              <w:top w:w="90" w:type="dxa"/>
              <w:bottom w:w="90" w:type="dxa"/>
              <w:start w:w="110" w:type="dxa"/>
              <w:end w:w="110" w:type="dxa"/>
            </w:tcMar>
            <w:vAlign w:val="top"/>
          </w:tcPr>
          <w:p>
            <w:r>
              <w:t>MFA for staff and privileged users; secure session management; passkeys/SSO may be supported.</w:t>
            </w:r>
          </w:p>
        </w:tc>
      </w:tr>
      <w:tr>
        <w:tc>
          <w:tcPr>
            <w:tcW w:type="dxa" w:w="5040"/>
            <w:tcMar>
              <w:top w:w="90" w:type="dxa"/>
              <w:bottom w:w="90" w:type="dxa"/>
              <w:start w:w="110" w:type="dxa"/>
              <w:end w:w="110" w:type="dxa"/>
            </w:tcMar>
            <w:vAlign w:val="top"/>
          </w:tcPr>
          <w:p>
            <w:r>
              <w:t>Authorization</w:t>
            </w:r>
          </w:p>
        </w:tc>
        <w:tc>
          <w:tcPr>
            <w:tcW w:type="dxa" w:w="5040"/>
            <w:tcMar>
              <w:top w:w="90" w:type="dxa"/>
              <w:bottom w:w="90" w:type="dxa"/>
              <w:start w:w="110" w:type="dxa"/>
              <w:end w:w="110" w:type="dxa"/>
            </w:tcMar>
            <w:vAlign w:val="top"/>
          </w:tcPr>
          <w:p>
            <w:r>
              <w:t>RBAC/ABAC where appropriate, least privilege, server-side checks on every sensitive action.</w:t>
            </w:r>
          </w:p>
        </w:tc>
      </w:tr>
      <w:tr>
        <w:tc>
          <w:tcPr>
            <w:tcW w:type="dxa" w:w="5040"/>
            <w:tcMar>
              <w:top w:w="90" w:type="dxa"/>
              <w:bottom w:w="90" w:type="dxa"/>
              <w:start w:w="110" w:type="dxa"/>
              <w:end w:w="110" w:type="dxa"/>
            </w:tcMar>
            <w:vAlign w:val="top"/>
          </w:tcPr>
          <w:p>
            <w:r>
              <w:t>Encryption</w:t>
            </w:r>
          </w:p>
        </w:tc>
        <w:tc>
          <w:tcPr>
            <w:tcW w:type="dxa" w:w="5040"/>
            <w:tcMar>
              <w:top w:w="90" w:type="dxa"/>
              <w:bottom w:w="90" w:type="dxa"/>
              <w:start w:w="110" w:type="dxa"/>
              <w:end w:w="110" w:type="dxa"/>
            </w:tcMar>
            <w:vAlign w:val="top"/>
          </w:tcPr>
          <w:p>
            <w:r>
              <w:t>TLS in transit; encryption at rest for databases, object storage and backups.</w:t>
            </w:r>
          </w:p>
        </w:tc>
      </w:tr>
      <w:tr>
        <w:tc>
          <w:tcPr>
            <w:tcW w:type="dxa" w:w="5040"/>
            <w:tcMar>
              <w:top w:w="90" w:type="dxa"/>
              <w:bottom w:w="90" w:type="dxa"/>
              <w:start w:w="110" w:type="dxa"/>
              <w:end w:w="110" w:type="dxa"/>
            </w:tcMar>
            <w:vAlign w:val="top"/>
          </w:tcPr>
          <w:p>
            <w:r>
              <w:t>Secrets</w:t>
            </w:r>
          </w:p>
        </w:tc>
        <w:tc>
          <w:tcPr>
            <w:tcW w:type="dxa" w:w="5040"/>
            <w:tcMar>
              <w:top w:w="90" w:type="dxa"/>
              <w:bottom w:w="90" w:type="dxa"/>
              <w:start w:w="110" w:type="dxa"/>
              <w:end w:w="110" w:type="dxa"/>
            </w:tcMar>
            <w:vAlign w:val="top"/>
          </w:tcPr>
          <w:p>
            <w:r>
              <w:t>Dedicated secrets manager; no production credentials in source code or client applications.</w:t>
            </w:r>
          </w:p>
        </w:tc>
      </w:tr>
      <w:tr>
        <w:tc>
          <w:tcPr>
            <w:tcW w:type="dxa" w:w="5040"/>
            <w:tcMar>
              <w:top w:w="90" w:type="dxa"/>
              <w:bottom w:w="90" w:type="dxa"/>
              <w:start w:w="110" w:type="dxa"/>
              <w:end w:w="110" w:type="dxa"/>
            </w:tcMar>
            <w:vAlign w:val="top"/>
          </w:tcPr>
          <w:p>
            <w:r>
              <w:t>Financial integrity</w:t>
            </w:r>
          </w:p>
        </w:tc>
        <w:tc>
          <w:tcPr>
            <w:tcW w:type="dxa" w:w="5040"/>
            <w:tcMar>
              <w:top w:w="90" w:type="dxa"/>
              <w:bottom w:w="90" w:type="dxa"/>
              <w:start w:w="110" w:type="dxa"/>
              <w:end w:w="110" w:type="dxa"/>
            </w:tcMar>
            <w:vAlign w:val="top"/>
          </w:tcPr>
          <w:p>
            <w:r>
              <w:t>Idempotency keys, immutable audit history, controlled reversals, approval thresholds and reconciliation.</w:t>
            </w:r>
          </w:p>
        </w:tc>
      </w:tr>
      <w:tr>
        <w:tc>
          <w:tcPr>
            <w:tcW w:type="dxa" w:w="5040"/>
            <w:tcMar>
              <w:top w:w="90" w:type="dxa"/>
              <w:bottom w:w="90" w:type="dxa"/>
              <w:start w:w="110" w:type="dxa"/>
              <w:end w:w="110" w:type="dxa"/>
            </w:tcMar>
            <w:vAlign w:val="top"/>
          </w:tcPr>
          <w:p>
            <w:r>
              <w:t>Application security</w:t>
            </w:r>
          </w:p>
        </w:tc>
        <w:tc>
          <w:tcPr>
            <w:tcW w:type="dxa" w:w="5040"/>
            <w:tcMar>
              <w:top w:w="90" w:type="dxa"/>
              <w:bottom w:w="90" w:type="dxa"/>
              <w:start w:w="110" w:type="dxa"/>
              <w:end w:w="110" w:type="dxa"/>
            </w:tcMar>
            <w:vAlign w:val="top"/>
          </w:tcPr>
          <w:p>
            <w:r>
              <w:t>Secure SDLC, dependency scanning, SAST/DAST, OWASP ASVS-based verification and penetration testing.</w:t>
            </w:r>
          </w:p>
        </w:tc>
      </w:tr>
      <w:tr>
        <w:tc>
          <w:tcPr>
            <w:tcW w:type="dxa" w:w="5040"/>
            <w:tcMar>
              <w:top w:w="90" w:type="dxa"/>
              <w:bottom w:w="90" w:type="dxa"/>
              <w:start w:w="110" w:type="dxa"/>
              <w:end w:w="110" w:type="dxa"/>
            </w:tcMar>
            <w:vAlign w:val="top"/>
          </w:tcPr>
          <w:p>
            <w:r>
              <w:t>Infrastructure</w:t>
            </w:r>
          </w:p>
        </w:tc>
        <w:tc>
          <w:tcPr>
            <w:tcW w:type="dxa" w:w="5040"/>
            <w:tcMar>
              <w:top w:w="90" w:type="dxa"/>
              <w:bottom w:w="90" w:type="dxa"/>
              <w:start w:w="110" w:type="dxa"/>
              <w:end w:w="110" w:type="dxa"/>
            </w:tcMar>
            <w:vAlign w:val="top"/>
          </w:tcPr>
          <w:p>
            <w:r>
              <w:t>Network segmentation, WAF/rate limits, monitoring, hardened CI/CD and restricted production access.</w:t>
            </w:r>
          </w:p>
        </w:tc>
      </w:tr>
      <w:tr>
        <w:tc>
          <w:tcPr>
            <w:tcW w:type="dxa" w:w="5040"/>
            <w:tcMar>
              <w:top w:w="90" w:type="dxa"/>
              <w:bottom w:w="90" w:type="dxa"/>
              <w:start w:w="110" w:type="dxa"/>
              <w:end w:w="110" w:type="dxa"/>
            </w:tcMar>
            <w:vAlign w:val="top"/>
          </w:tcPr>
          <w:p>
            <w:r>
              <w:t>Backups</w:t>
            </w:r>
          </w:p>
        </w:tc>
        <w:tc>
          <w:tcPr>
            <w:tcW w:type="dxa" w:w="5040"/>
            <w:tcMar>
              <w:top w:w="90" w:type="dxa"/>
              <w:bottom w:w="90" w:type="dxa"/>
              <w:start w:w="110" w:type="dxa"/>
              <w:end w:w="110" w:type="dxa"/>
            </w:tcMar>
            <w:vAlign w:val="top"/>
          </w:tcPr>
          <w:p>
            <w:r>
              <w:t>Encrypted automated backups, restore testing and documented disaster recovery.</w:t>
            </w:r>
          </w:p>
        </w:tc>
      </w:tr>
      <w:tr>
        <w:tc>
          <w:tcPr>
            <w:tcW w:type="dxa" w:w="5040"/>
            <w:tcMar>
              <w:top w:w="90" w:type="dxa"/>
              <w:bottom w:w="90" w:type="dxa"/>
              <w:start w:w="110" w:type="dxa"/>
              <w:end w:w="110" w:type="dxa"/>
            </w:tcMar>
            <w:vAlign w:val="top"/>
          </w:tcPr>
          <w:p>
            <w:r>
              <w:t>Smart contracts</w:t>
            </w:r>
          </w:p>
        </w:tc>
        <w:tc>
          <w:tcPr>
            <w:tcW w:type="dxa" w:w="5040"/>
            <w:tcMar>
              <w:top w:w="90" w:type="dxa"/>
              <w:bottom w:w="90" w:type="dxa"/>
              <w:start w:w="110" w:type="dxa"/>
              <w:end w:w="110" w:type="dxa"/>
            </w:tcMar>
            <w:vAlign w:val="top"/>
          </w:tcPr>
          <w:p>
            <w:r>
              <w:t>Minimal contract surface, tests, access controls, pause/emergency strategy and independent audit before significant mainnet funds.</w:t>
            </w:r>
          </w:p>
        </w:tc>
      </w:tr>
      <w:tr>
        <w:tc>
          <w:tcPr>
            <w:tcW w:type="dxa" w:w="5040"/>
            <w:tcMar>
              <w:top w:w="90" w:type="dxa"/>
              <w:bottom w:w="90" w:type="dxa"/>
              <w:start w:w="110" w:type="dxa"/>
              <w:end w:w="110" w:type="dxa"/>
            </w:tcMar>
            <w:vAlign w:val="top"/>
          </w:tcPr>
          <w:p>
            <w:r>
              <w:t>Logging</w:t>
            </w:r>
          </w:p>
        </w:tc>
        <w:tc>
          <w:tcPr>
            <w:tcW w:type="dxa" w:w="5040"/>
            <w:tcMar>
              <w:top w:w="90" w:type="dxa"/>
              <w:bottom w:w="90" w:type="dxa"/>
              <w:start w:w="110" w:type="dxa"/>
              <w:end w:w="110" w:type="dxa"/>
            </w:tcMar>
            <w:vAlign w:val="top"/>
          </w:tcPr>
          <w:p>
            <w:r>
              <w:t>Security and financial events logged without leaking secrets or excessive personal data.</w:t>
            </w:r>
          </w:p>
        </w:tc>
      </w:tr>
    </w:tbl>
    <w:p>
      <w:pPr>
        <w:spacing w:after="20"/>
      </w:pPr>
    </w:p>
    <w:p>
      <w:pPr>
        <w:pStyle w:val="Heading1"/>
      </w:pPr>
      <w:r>
        <w:t>23. Privacy, Child Protection and Ethical Requirements</w:t>
      </w:r>
    </w:p>
    <w:p>
      <w:pPr>
        <w:pStyle w:val="ListBullet"/>
      </w:pPr>
      <w:r>
        <w:t>Collect only data needed for a defined school or funding purpose.</w:t>
      </w:r>
    </w:p>
    <w:p>
      <w:pPr>
        <w:pStyle w:val="ListBullet"/>
      </w:pPr>
      <w:r>
        <w:t>Keep personally identifiable learner information off public blockchains.</w:t>
      </w:r>
    </w:p>
    <w:p>
      <w:pPr>
        <w:pStyle w:val="ListBullet"/>
      </w:pPr>
      <w:r>
        <w:t>Define retention periods and secure deletion/archival processes.</w:t>
      </w:r>
    </w:p>
    <w:p>
      <w:pPr>
        <w:pStyle w:val="ListBullet"/>
      </w:pPr>
      <w:r>
        <w:t>Provide clear role-based disclosure rules for sponsors and external authorities.</w:t>
      </w:r>
    </w:p>
    <w:p>
      <w:pPr>
        <w:pStyle w:val="ListBullet"/>
      </w:pPr>
      <w:r>
        <w:t>Do not train external AI models on private student data by default.</w:t>
      </w:r>
    </w:p>
    <w:p>
      <w:pPr>
        <w:pStyle w:val="ListBullet"/>
      </w:pPr>
      <w:r>
        <w:t>Use human review for consequential AI flags and beneficiary identity matching.</w:t>
      </w:r>
    </w:p>
    <w:p>
      <w:pPr>
        <w:pStyle w:val="ListBullet"/>
      </w:pPr>
      <w:r>
        <w:t>Public impact reporting uses anonymised or aggregated data.</w:t>
      </w:r>
    </w:p>
    <w:p>
      <w:pPr>
        <w:pStyle w:val="ListBullet"/>
      </w:pPr>
      <w:r>
        <w:t>Maintain processor/vendor agreements and breach-response procedures.</w:t>
      </w:r>
    </w:p>
    <w:p>
      <w:pPr>
        <w:pStyle w:val="ListBullet"/>
      </w:pPr>
      <w:r>
        <w:t>Direct regulator/Ministry access is only enabled under a formal legal/institutional basis.</w:t>
      </w:r>
    </w:p>
    <w:p>
      <w:pPr>
        <w:pStyle w:val="ListBullet"/>
      </w:pPr>
      <w:r>
        <w:t>Design for Uganda’s data-protection obligations and child-data sensitivity from the beginning.</w:t>
      </w:r>
    </w:p>
    <w:p>
      <w:pPr>
        <w:pStyle w:val="Heading1"/>
      </w:pPr>
      <w:r>
        <w:t>24. External Integrations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246A73"/>
            <w:tcMar>
              <w:top w:w="90" w:type="dxa"/>
              <w:bottom w:w="90" w:type="dxa"/>
              <w:start w:w="110" w:type="dxa"/>
              <w:end w:w="110" w:type="dxa"/>
            </w:tcMar>
          </w:tcPr>
          <w:p>
            <w:r>
              <w:rPr>
                <w:b/>
                <w:color w:val="FFFFFF"/>
              </w:rPr>
              <w:t>Integration</w:t>
            </w:r>
          </w:p>
        </w:tc>
        <w:tc>
          <w:tcPr>
            <w:tcW w:type="dxa" w:w="3360"/>
            <w:shd w:fill="246A73"/>
            <w:tcMar>
              <w:top w:w="90" w:type="dxa"/>
              <w:bottom w:w="90" w:type="dxa"/>
              <w:start w:w="110" w:type="dxa"/>
              <w:end w:w="110" w:type="dxa"/>
            </w:tcMar>
          </w:tcPr>
          <w:p>
            <w:r>
              <w:rPr>
                <w:b/>
                <w:color w:val="FFFFFF"/>
              </w:rPr>
              <w:t>Purpose</w:t>
            </w:r>
          </w:p>
        </w:tc>
        <w:tc>
          <w:tcPr>
            <w:tcW w:type="dxa" w:w="3360"/>
            <w:shd w:fill="246A73"/>
            <w:tcMar>
              <w:top w:w="90" w:type="dxa"/>
              <w:bottom w:w="90" w:type="dxa"/>
              <w:start w:w="110" w:type="dxa"/>
              <w:end w:w="110" w:type="dxa"/>
            </w:tcMar>
          </w:tcPr>
          <w:p>
            <w:r>
              <w:rPr>
                <w:b/>
                <w:color w:val="FFFFFF"/>
              </w:rPr>
              <w:t>Dependency policy</w:t>
            </w:r>
          </w:p>
        </w:tc>
      </w:tr>
      <w:tr>
        <w:tc>
          <w:tcPr>
            <w:tcW w:type="dxa" w:w="3360"/>
            <w:tcMar>
              <w:top w:w="90" w:type="dxa"/>
              <w:bottom w:w="90" w:type="dxa"/>
              <w:start w:w="110" w:type="dxa"/>
              <w:end w:w="110" w:type="dxa"/>
            </w:tcMar>
            <w:vAlign w:val="top"/>
          </w:tcPr>
          <w:p>
            <w:r>
              <w:t>SchoolPay</w:t>
            </w:r>
          </w:p>
        </w:tc>
        <w:tc>
          <w:tcPr>
            <w:tcW w:type="dxa" w:w="3360"/>
            <w:tcMar>
              <w:top w:w="90" w:type="dxa"/>
              <w:bottom w:w="90" w:type="dxa"/>
              <w:start w:w="110" w:type="dxa"/>
              <w:end w:w="110" w:type="dxa"/>
            </w:tcMar>
            <w:vAlign w:val="top"/>
          </w:tcPr>
          <w:p>
            <w:r>
              <w:t>Payment import/reconciliation</w:t>
            </w:r>
          </w:p>
        </w:tc>
        <w:tc>
          <w:tcPr>
            <w:tcW w:type="dxa" w:w="3360"/>
            <w:tcMar>
              <w:top w:w="90" w:type="dxa"/>
              <w:bottom w:w="90" w:type="dxa"/>
              <w:start w:w="110" w:type="dxa"/>
              <w:end w:w="110" w:type="dxa"/>
            </w:tcMar>
            <w:vAlign w:val="top"/>
          </w:tcPr>
          <w:p>
            <w:r>
              <w:t>Only claim direct API integration after formal access is secured.</w:t>
            </w:r>
          </w:p>
        </w:tc>
      </w:tr>
      <w:tr>
        <w:tc>
          <w:tcPr>
            <w:tcW w:type="dxa" w:w="3360"/>
            <w:tcMar>
              <w:top w:w="90" w:type="dxa"/>
              <w:bottom w:w="90" w:type="dxa"/>
              <w:start w:w="110" w:type="dxa"/>
              <w:end w:w="110" w:type="dxa"/>
            </w:tcMar>
            <w:vAlign w:val="top"/>
          </w:tcPr>
          <w:p>
            <w:r>
              <w:t>Banks</w:t>
            </w:r>
          </w:p>
        </w:tc>
        <w:tc>
          <w:tcPr>
            <w:tcW w:type="dxa" w:w="3360"/>
            <w:tcMar>
              <w:top w:w="90" w:type="dxa"/>
              <w:bottom w:w="90" w:type="dxa"/>
              <w:start w:w="110" w:type="dxa"/>
              <w:end w:w="110" w:type="dxa"/>
            </w:tcMar>
            <w:vAlign w:val="top"/>
          </w:tcPr>
          <w:p>
            <w:r>
              <w:t>Statements/payment feeds</w:t>
            </w:r>
          </w:p>
        </w:tc>
        <w:tc>
          <w:tcPr>
            <w:tcW w:type="dxa" w:w="3360"/>
            <w:tcMar>
              <w:top w:w="90" w:type="dxa"/>
              <w:bottom w:w="90" w:type="dxa"/>
              <w:start w:w="110" w:type="dxa"/>
              <w:end w:w="110" w:type="dxa"/>
            </w:tcMar>
            <w:vAlign w:val="top"/>
          </w:tcPr>
          <w:p>
            <w:r>
              <w:t>Provider-specific adapters behind common interface.</w:t>
            </w:r>
          </w:p>
        </w:tc>
      </w:tr>
      <w:tr>
        <w:tc>
          <w:tcPr>
            <w:tcW w:type="dxa" w:w="3360"/>
            <w:tcMar>
              <w:top w:w="90" w:type="dxa"/>
              <w:bottom w:w="90" w:type="dxa"/>
              <w:start w:w="110" w:type="dxa"/>
              <w:end w:w="110" w:type="dxa"/>
            </w:tcMar>
            <w:vAlign w:val="top"/>
          </w:tcPr>
          <w:p>
            <w:r>
              <w:t>Mobile Money</w:t>
            </w:r>
          </w:p>
        </w:tc>
        <w:tc>
          <w:tcPr>
            <w:tcW w:type="dxa" w:w="3360"/>
            <w:tcMar>
              <w:top w:w="90" w:type="dxa"/>
              <w:bottom w:w="90" w:type="dxa"/>
              <w:start w:w="110" w:type="dxa"/>
              <w:end w:w="110" w:type="dxa"/>
            </w:tcMar>
            <w:vAlign w:val="top"/>
          </w:tcPr>
          <w:p>
            <w:r>
              <w:t>Payment collection/settlement</w:t>
            </w:r>
          </w:p>
        </w:tc>
        <w:tc>
          <w:tcPr>
            <w:tcW w:type="dxa" w:w="3360"/>
            <w:tcMar>
              <w:top w:w="90" w:type="dxa"/>
              <w:bottom w:w="90" w:type="dxa"/>
              <w:start w:w="110" w:type="dxa"/>
              <w:end w:w="110" w:type="dxa"/>
            </w:tcMar>
            <w:vAlign w:val="top"/>
          </w:tcPr>
          <w:p>
            <w:r>
              <w:t>Use approved provider/aggregator APIs.</w:t>
            </w:r>
          </w:p>
        </w:tc>
      </w:tr>
      <w:tr>
        <w:tc>
          <w:tcPr>
            <w:tcW w:type="dxa" w:w="3360"/>
            <w:tcMar>
              <w:top w:w="90" w:type="dxa"/>
              <w:bottom w:w="90" w:type="dxa"/>
              <w:start w:w="110" w:type="dxa"/>
              <w:end w:w="110" w:type="dxa"/>
            </w:tcMar>
            <w:vAlign w:val="top"/>
          </w:tcPr>
          <w:p>
            <w:r>
              <w:t>Africa's Talking</w:t>
            </w:r>
          </w:p>
        </w:tc>
        <w:tc>
          <w:tcPr>
            <w:tcW w:type="dxa" w:w="3360"/>
            <w:tcMar>
              <w:top w:w="90" w:type="dxa"/>
              <w:bottom w:w="90" w:type="dxa"/>
              <w:start w:w="110" w:type="dxa"/>
              <w:end w:w="110" w:type="dxa"/>
            </w:tcMar>
            <w:vAlign w:val="top"/>
          </w:tcPr>
          <w:p>
            <w:r>
              <w:t>SMS and future USSD</w:t>
            </w:r>
          </w:p>
        </w:tc>
        <w:tc>
          <w:tcPr>
            <w:tcW w:type="dxa" w:w="3360"/>
            <w:tcMar>
              <w:top w:w="90" w:type="dxa"/>
              <w:bottom w:w="90" w:type="dxa"/>
              <w:start w:w="110" w:type="dxa"/>
              <w:end w:w="110" w:type="dxa"/>
            </w:tcMar>
            <w:vAlign w:val="top"/>
          </w:tcPr>
          <w:p>
            <w:r>
              <w:t>Messaging adapter; replaceable.</w:t>
            </w:r>
          </w:p>
        </w:tc>
      </w:tr>
      <w:tr>
        <w:tc>
          <w:tcPr>
            <w:tcW w:type="dxa" w:w="3360"/>
            <w:tcMar>
              <w:top w:w="90" w:type="dxa"/>
              <w:bottom w:w="90" w:type="dxa"/>
              <w:start w:w="110" w:type="dxa"/>
              <w:end w:w="110" w:type="dxa"/>
            </w:tcMar>
            <w:vAlign w:val="top"/>
          </w:tcPr>
          <w:p>
            <w:r>
              <w:t>Sunbird AI</w:t>
            </w:r>
          </w:p>
        </w:tc>
        <w:tc>
          <w:tcPr>
            <w:tcW w:type="dxa" w:w="3360"/>
            <w:tcMar>
              <w:top w:w="90" w:type="dxa"/>
              <w:bottom w:w="90" w:type="dxa"/>
              <w:start w:w="110" w:type="dxa"/>
              <w:end w:w="110" w:type="dxa"/>
            </w:tcMar>
            <w:vAlign w:val="top"/>
          </w:tcPr>
          <w:p>
            <w:r>
              <w:t>Local-language translation/speech where selected</w:t>
            </w:r>
          </w:p>
        </w:tc>
        <w:tc>
          <w:tcPr>
            <w:tcW w:type="dxa" w:w="3360"/>
            <w:tcMar>
              <w:top w:w="90" w:type="dxa"/>
              <w:bottom w:w="90" w:type="dxa"/>
              <w:start w:w="110" w:type="dxa"/>
              <w:end w:w="110" w:type="dxa"/>
            </w:tcMar>
            <w:vAlign w:val="top"/>
          </w:tcPr>
          <w:p>
            <w:r>
              <w:t>Optional language adapter; no direct DB access.</w:t>
            </w:r>
          </w:p>
        </w:tc>
      </w:tr>
      <w:tr>
        <w:tc>
          <w:tcPr>
            <w:tcW w:type="dxa" w:w="3360"/>
            <w:tcMar>
              <w:top w:w="90" w:type="dxa"/>
              <w:bottom w:w="90" w:type="dxa"/>
              <w:start w:w="110" w:type="dxa"/>
              <w:end w:w="110" w:type="dxa"/>
            </w:tcMar>
            <w:vAlign w:val="top"/>
          </w:tcPr>
          <w:p>
            <w:r>
              <w:t>EMIS</w:t>
            </w:r>
          </w:p>
        </w:tc>
        <w:tc>
          <w:tcPr>
            <w:tcW w:type="dxa" w:w="3360"/>
            <w:tcMar>
              <w:top w:w="90" w:type="dxa"/>
              <w:bottom w:w="90" w:type="dxa"/>
              <w:start w:w="110" w:type="dxa"/>
              <w:end w:w="110" w:type="dxa"/>
            </w:tcMar>
            <w:vAlign w:val="top"/>
          </w:tcPr>
          <w:p>
            <w:r>
              <w:t>Data interoperability where formally permitted</w:t>
            </w:r>
          </w:p>
        </w:tc>
        <w:tc>
          <w:tcPr>
            <w:tcW w:type="dxa" w:w="3360"/>
            <w:tcMar>
              <w:top w:w="90" w:type="dxa"/>
              <w:bottom w:w="90" w:type="dxa"/>
              <w:start w:w="110" w:type="dxa"/>
              <w:end w:w="110" w:type="dxa"/>
            </w:tcMar>
            <w:vAlign w:val="top"/>
          </w:tcPr>
          <w:p>
            <w:r>
              <w:t>Do not claim live integration before approval/API access.</w:t>
            </w:r>
          </w:p>
        </w:tc>
      </w:tr>
      <w:tr>
        <w:tc>
          <w:tcPr>
            <w:tcW w:type="dxa" w:w="3360"/>
            <w:tcMar>
              <w:top w:w="90" w:type="dxa"/>
              <w:bottom w:w="90" w:type="dxa"/>
              <w:start w:w="110" w:type="dxa"/>
              <w:end w:w="110" w:type="dxa"/>
            </w:tcMar>
            <w:vAlign w:val="top"/>
          </w:tcPr>
          <w:p>
            <w:r>
              <w:t>Stellar / Soroban</w:t>
            </w:r>
          </w:p>
        </w:tc>
        <w:tc>
          <w:tcPr>
            <w:tcW w:type="dxa" w:w="3360"/>
            <w:tcMar>
              <w:top w:w="90" w:type="dxa"/>
              <w:bottom w:w="90" w:type="dxa"/>
              <w:start w:w="110" w:type="dxa"/>
              <w:end w:w="110" w:type="dxa"/>
            </w:tcMar>
            <w:vAlign w:val="top"/>
          </w:tcPr>
          <w:p>
            <w:r>
              <w:t>Programmable funding</w:t>
            </w:r>
          </w:p>
        </w:tc>
        <w:tc>
          <w:tcPr>
            <w:tcW w:type="dxa" w:w="3360"/>
            <w:tcMar>
              <w:top w:w="90" w:type="dxa"/>
              <w:bottom w:w="90" w:type="dxa"/>
              <w:start w:w="110" w:type="dxa"/>
              <w:end w:w="110" w:type="dxa"/>
            </w:tcMar>
            <w:vAlign w:val="top"/>
          </w:tcPr>
          <w:p>
            <w:r>
              <w:t>Isolated from private student data.</w:t>
            </w:r>
          </w:p>
        </w:tc>
      </w:tr>
      <w:tr>
        <w:tc>
          <w:tcPr>
            <w:tcW w:type="dxa" w:w="3360"/>
            <w:tcMar>
              <w:top w:w="90" w:type="dxa"/>
              <w:bottom w:w="90" w:type="dxa"/>
              <w:start w:w="110" w:type="dxa"/>
              <w:end w:w="110" w:type="dxa"/>
            </w:tcMar>
            <w:vAlign w:val="top"/>
          </w:tcPr>
          <w:p>
            <w:r>
              <w:t>SDP</w:t>
            </w:r>
          </w:p>
        </w:tc>
        <w:tc>
          <w:tcPr>
            <w:tcW w:type="dxa" w:w="3360"/>
            <w:tcMar>
              <w:top w:w="90" w:type="dxa"/>
              <w:bottom w:w="90" w:type="dxa"/>
              <w:start w:w="110" w:type="dxa"/>
              <w:end w:w="110" w:type="dxa"/>
            </w:tcMar>
            <w:vAlign w:val="top"/>
          </w:tcPr>
          <w:p>
            <w:r>
              <w:t>Bulk disbursement</w:t>
            </w:r>
          </w:p>
        </w:tc>
        <w:tc>
          <w:tcPr>
            <w:tcW w:type="dxa" w:w="3360"/>
            <w:tcMar>
              <w:top w:w="90" w:type="dxa"/>
              <w:bottom w:w="90" w:type="dxa"/>
              <w:start w:w="110" w:type="dxa"/>
              <w:end w:w="110" w:type="dxa"/>
            </w:tcMar>
            <w:vAlign w:val="top"/>
          </w:tcPr>
          <w:p>
            <w:r>
              <w:t>Use for suitable Stellar disbursement flows.</w:t>
            </w:r>
          </w:p>
        </w:tc>
      </w:tr>
      <w:tr>
        <w:tc>
          <w:tcPr>
            <w:tcW w:type="dxa" w:w="3360"/>
            <w:tcMar>
              <w:top w:w="90" w:type="dxa"/>
              <w:bottom w:w="90" w:type="dxa"/>
              <w:start w:w="110" w:type="dxa"/>
              <w:end w:w="110" w:type="dxa"/>
            </w:tcMar>
            <w:vAlign w:val="top"/>
          </w:tcPr>
          <w:p>
            <w:r>
              <w:t>Anchor/Ramp</w:t>
            </w:r>
          </w:p>
        </w:tc>
        <w:tc>
          <w:tcPr>
            <w:tcW w:type="dxa" w:w="3360"/>
            <w:tcMar>
              <w:top w:w="90" w:type="dxa"/>
              <w:bottom w:w="90" w:type="dxa"/>
              <w:start w:w="110" w:type="dxa"/>
              <w:end w:w="110" w:type="dxa"/>
            </w:tcMar>
            <w:vAlign w:val="top"/>
          </w:tcPr>
          <w:p>
            <w:r>
              <w:t>Fiat ↔ Stellar asset conversion</w:t>
            </w:r>
          </w:p>
        </w:tc>
        <w:tc>
          <w:tcPr>
            <w:tcW w:type="dxa" w:w="3360"/>
            <w:tcMar>
              <w:top w:w="90" w:type="dxa"/>
              <w:bottom w:w="90" w:type="dxa"/>
              <w:start w:w="110" w:type="dxa"/>
              <w:end w:w="110" w:type="dxa"/>
            </w:tcMar>
            <w:vAlign w:val="top"/>
          </w:tcPr>
          <w:p>
            <w:r>
              <w:t>Must validate Uganda corridor, KYB/KYC, limits, fees and settlement rails.</w:t>
            </w:r>
          </w:p>
        </w:tc>
      </w:tr>
    </w:tbl>
    <w:p>
      <w:pPr>
        <w:spacing w:after="20"/>
      </w:pPr>
    </w:p>
    <w:p>
      <w:pPr>
        <w:pStyle w:val="Heading1"/>
      </w:pPr>
      <w:r>
        <w:t>25. Recommended Technology Stack</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246A73"/>
            <w:tcMar>
              <w:top w:w="90" w:type="dxa"/>
              <w:bottom w:w="90" w:type="dxa"/>
              <w:start w:w="110" w:type="dxa"/>
              <w:end w:w="110" w:type="dxa"/>
            </w:tcMar>
          </w:tcPr>
          <w:p>
            <w:r>
              <w:rPr>
                <w:b/>
                <w:color w:val="FFFFFF"/>
              </w:rPr>
              <w:t>Layer</w:t>
            </w:r>
          </w:p>
        </w:tc>
        <w:tc>
          <w:tcPr>
            <w:tcW w:type="dxa" w:w="3360"/>
            <w:shd w:fill="246A73"/>
            <w:tcMar>
              <w:top w:w="90" w:type="dxa"/>
              <w:bottom w:w="90" w:type="dxa"/>
              <w:start w:w="110" w:type="dxa"/>
              <w:end w:w="110" w:type="dxa"/>
            </w:tcMar>
          </w:tcPr>
          <w:p>
            <w:r>
              <w:rPr>
                <w:b/>
                <w:color w:val="FFFFFF"/>
              </w:rPr>
              <w:t>Recommended starting choice</w:t>
            </w:r>
          </w:p>
        </w:tc>
        <w:tc>
          <w:tcPr>
            <w:tcW w:type="dxa" w:w="3360"/>
            <w:shd w:fill="246A73"/>
            <w:tcMar>
              <w:top w:w="90" w:type="dxa"/>
              <w:bottom w:w="90" w:type="dxa"/>
              <w:start w:w="110" w:type="dxa"/>
              <w:end w:w="110" w:type="dxa"/>
            </w:tcMar>
          </w:tcPr>
          <w:p>
            <w:r>
              <w:rPr>
                <w:b/>
                <w:color w:val="FFFFFF"/>
              </w:rPr>
              <w:t>Reason</w:t>
            </w:r>
          </w:p>
        </w:tc>
      </w:tr>
      <w:tr>
        <w:tc>
          <w:tcPr>
            <w:tcW w:type="dxa" w:w="3360"/>
            <w:tcMar>
              <w:top w:w="90" w:type="dxa"/>
              <w:bottom w:w="90" w:type="dxa"/>
              <w:start w:w="110" w:type="dxa"/>
              <w:end w:w="110" w:type="dxa"/>
            </w:tcMar>
            <w:vAlign w:val="top"/>
          </w:tcPr>
          <w:p>
            <w:r>
              <w:t>Web frontend</w:t>
            </w:r>
          </w:p>
        </w:tc>
        <w:tc>
          <w:tcPr>
            <w:tcW w:type="dxa" w:w="3360"/>
            <w:tcMar>
              <w:top w:w="90" w:type="dxa"/>
              <w:bottom w:w="90" w:type="dxa"/>
              <w:start w:w="110" w:type="dxa"/>
              <w:end w:w="110" w:type="dxa"/>
            </w:tcMar>
            <w:vAlign w:val="top"/>
          </w:tcPr>
          <w:p>
            <w:r>
              <w:t>Next.js + React + TypeScript</w:t>
            </w:r>
          </w:p>
        </w:tc>
        <w:tc>
          <w:tcPr>
            <w:tcW w:type="dxa" w:w="3360"/>
            <w:tcMar>
              <w:top w:w="90" w:type="dxa"/>
              <w:bottom w:w="90" w:type="dxa"/>
              <w:start w:w="110" w:type="dxa"/>
              <w:end w:w="110" w:type="dxa"/>
            </w:tcMar>
            <w:vAlign w:val="top"/>
          </w:tcPr>
          <w:p>
            <w:r>
              <w:t>Mature ecosystem, responsive web, strong developer tooling.</w:t>
            </w:r>
          </w:p>
        </w:tc>
      </w:tr>
      <w:tr>
        <w:tc>
          <w:tcPr>
            <w:tcW w:type="dxa" w:w="3360"/>
            <w:tcMar>
              <w:top w:w="90" w:type="dxa"/>
              <w:bottom w:w="90" w:type="dxa"/>
              <w:start w:w="110" w:type="dxa"/>
              <w:end w:w="110" w:type="dxa"/>
            </w:tcMar>
            <w:vAlign w:val="top"/>
          </w:tcPr>
          <w:p>
            <w:r>
              <w:t>Design system</w:t>
            </w:r>
          </w:p>
        </w:tc>
        <w:tc>
          <w:tcPr>
            <w:tcW w:type="dxa" w:w="3360"/>
            <w:tcMar>
              <w:top w:w="90" w:type="dxa"/>
              <w:bottom w:w="90" w:type="dxa"/>
              <w:start w:w="110" w:type="dxa"/>
              <w:end w:w="110" w:type="dxa"/>
            </w:tcMar>
            <w:vAlign w:val="top"/>
          </w:tcPr>
          <w:p>
            <w:r>
              <w:t>Accessible component library + Tailwind/CSS tokens</w:t>
            </w:r>
          </w:p>
        </w:tc>
        <w:tc>
          <w:tcPr>
            <w:tcW w:type="dxa" w:w="3360"/>
            <w:tcMar>
              <w:top w:w="90" w:type="dxa"/>
              <w:bottom w:w="90" w:type="dxa"/>
              <w:start w:w="110" w:type="dxa"/>
              <w:end w:w="110" w:type="dxa"/>
            </w:tcMar>
            <w:vAlign w:val="top"/>
          </w:tcPr>
          <w:p>
            <w:r>
              <w:t>Consistent interfaces without locking business logic to styling.</w:t>
            </w:r>
          </w:p>
        </w:tc>
      </w:tr>
      <w:tr>
        <w:tc>
          <w:tcPr>
            <w:tcW w:type="dxa" w:w="3360"/>
            <w:tcMar>
              <w:top w:w="90" w:type="dxa"/>
              <w:bottom w:w="90" w:type="dxa"/>
              <w:start w:w="110" w:type="dxa"/>
              <w:end w:w="110" w:type="dxa"/>
            </w:tcMar>
            <w:vAlign w:val="top"/>
          </w:tcPr>
          <w:p>
            <w:r>
              <w:t>Core backend</w:t>
            </w:r>
          </w:p>
        </w:tc>
        <w:tc>
          <w:tcPr>
            <w:tcW w:type="dxa" w:w="3360"/>
            <w:tcMar>
              <w:top w:w="90" w:type="dxa"/>
              <w:bottom w:w="90" w:type="dxa"/>
              <w:start w:w="110" w:type="dxa"/>
              <w:end w:w="110" w:type="dxa"/>
            </w:tcMar>
            <w:vAlign w:val="top"/>
          </w:tcPr>
          <w:p>
            <w:r>
              <w:t>NestJS + TypeScript</w:t>
            </w:r>
          </w:p>
        </w:tc>
        <w:tc>
          <w:tcPr>
            <w:tcW w:type="dxa" w:w="3360"/>
            <w:tcMar>
              <w:top w:w="90" w:type="dxa"/>
              <w:bottom w:w="90" w:type="dxa"/>
              <w:start w:w="110" w:type="dxa"/>
              <w:end w:w="110" w:type="dxa"/>
            </w:tcMar>
            <w:vAlign w:val="top"/>
          </w:tcPr>
          <w:p>
            <w:r>
              <w:t>Structured modular backend, validation, APIs and shared language with frontend.</w:t>
            </w:r>
          </w:p>
        </w:tc>
      </w:tr>
      <w:tr>
        <w:tc>
          <w:tcPr>
            <w:tcW w:type="dxa" w:w="3360"/>
            <w:tcMar>
              <w:top w:w="90" w:type="dxa"/>
              <w:bottom w:w="90" w:type="dxa"/>
              <w:start w:w="110" w:type="dxa"/>
              <w:end w:w="110" w:type="dxa"/>
            </w:tcMar>
            <w:vAlign w:val="top"/>
          </w:tcPr>
          <w:p>
            <w:r>
              <w:t>Authoritative database</w:t>
            </w:r>
          </w:p>
        </w:tc>
        <w:tc>
          <w:tcPr>
            <w:tcW w:type="dxa" w:w="3360"/>
            <w:tcMar>
              <w:top w:w="90" w:type="dxa"/>
              <w:bottom w:w="90" w:type="dxa"/>
              <w:start w:w="110" w:type="dxa"/>
              <w:end w:w="110" w:type="dxa"/>
            </w:tcMar>
            <w:vAlign w:val="top"/>
          </w:tcPr>
          <w:p>
            <w:r>
              <w:t>PostgreSQL</w:t>
            </w:r>
          </w:p>
        </w:tc>
        <w:tc>
          <w:tcPr>
            <w:tcW w:type="dxa" w:w="3360"/>
            <w:tcMar>
              <w:top w:w="90" w:type="dxa"/>
              <w:bottom w:w="90" w:type="dxa"/>
              <w:start w:w="110" w:type="dxa"/>
              <w:end w:w="110" w:type="dxa"/>
            </w:tcMar>
            <w:vAlign w:val="top"/>
          </w:tcPr>
          <w:p>
            <w:r>
              <w:t>Strong relational integrity and transactional behaviour for financial records.</w:t>
            </w:r>
          </w:p>
        </w:tc>
      </w:tr>
      <w:tr>
        <w:tc>
          <w:tcPr>
            <w:tcW w:type="dxa" w:w="3360"/>
            <w:tcMar>
              <w:top w:w="90" w:type="dxa"/>
              <w:bottom w:w="90" w:type="dxa"/>
              <w:start w:w="110" w:type="dxa"/>
              <w:end w:w="110" w:type="dxa"/>
            </w:tcMar>
            <w:vAlign w:val="top"/>
          </w:tcPr>
          <w:p>
            <w:r>
              <w:t>Cache / short-lived state</w:t>
            </w:r>
          </w:p>
        </w:tc>
        <w:tc>
          <w:tcPr>
            <w:tcW w:type="dxa" w:w="3360"/>
            <w:tcMar>
              <w:top w:w="90" w:type="dxa"/>
              <w:bottom w:w="90" w:type="dxa"/>
              <w:start w:w="110" w:type="dxa"/>
              <w:end w:w="110" w:type="dxa"/>
            </w:tcMar>
            <w:vAlign w:val="top"/>
          </w:tcPr>
          <w:p>
            <w:r>
              <w:t>Redis</w:t>
            </w:r>
          </w:p>
        </w:tc>
        <w:tc>
          <w:tcPr>
            <w:tcW w:type="dxa" w:w="3360"/>
            <w:tcMar>
              <w:top w:w="90" w:type="dxa"/>
              <w:bottom w:w="90" w:type="dxa"/>
              <w:start w:w="110" w:type="dxa"/>
              <w:end w:w="110" w:type="dxa"/>
            </w:tcMar>
            <w:vAlign w:val="top"/>
          </w:tcPr>
          <w:p>
            <w:r>
              <w:t>Caching, rate limiting and selected transient workloads.</w:t>
            </w:r>
          </w:p>
        </w:tc>
      </w:tr>
      <w:tr>
        <w:tc>
          <w:tcPr>
            <w:tcW w:type="dxa" w:w="3360"/>
            <w:tcMar>
              <w:top w:w="90" w:type="dxa"/>
              <w:bottom w:w="90" w:type="dxa"/>
              <w:start w:w="110" w:type="dxa"/>
              <w:end w:w="110" w:type="dxa"/>
            </w:tcMar>
            <w:vAlign w:val="top"/>
          </w:tcPr>
          <w:p>
            <w:r>
              <w:t>Async jobs</w:t>
            </w:r>
          </w:p>
        </w:tc>
        <w:tc>
          <w:tcPr>
            <w:tcW w:type="dxa" w:w="3360"/>
            <w:tcMar>
              <w:top w:w="90" w:type="dxa"/>
              <w:bottom w:w="90" w:type="dxa"/>
              <w:start w:w="110" w:type="dxa"/>
              <w:end w:w="110" w:type="dxa"/>
            </w:tcMar>
            <w:vAlign w:val="top"/>
          </w:tcPr>
          <w:p>
            <w:r>
              <w:t>Managed queue or RabbitMQ when justified</w:t>
            </w:r>
          </w:p>
        </w:tc>
        <w:tc>
          <w:tcPr>
            <w:tcW w:type="dxa" w:w="3360"/>
            <w:tcMar>
              <w:top w:w="90" w:type="dxa"/>
              <w:bottom w:w="90" w:type="dxa"/>
              <w:start w:w="110" w:type="dxa"/>
              <w:end w:w="110" w:type="dxa"/>
            </w:tcMar>
            <w:vAlign w:val="top"/>
          </w:tcPr>
          <w:p>
            <w:r>
              <w:t>Payment imports, notifications, reports and integration retries.</w:t>
            </w:r>
          </w:p>
        </w:tc>
      </w:tr>
      <w:tr>
        <w:tc>
          <w:tcPr>
            <w:tcW w:type="dxa" w:w="3360"/>
            <w:tcMar>
              <w:top w:w="90" w:type="dxa"/>
              <w:bottom w:w="90" w:type="dxa"/>
              <w:start w:w="110" w:type="dxa"/>
              <w:end w:w="110" w:type="dxa"/>
            </w:tcMar>
            <w:vAlign w:val="top"/>
          </w:tcPr>
          <w:p>
            <w:r>
              <w:t>Documents</w:t>
            </w:r>
          </w:p>
        </w:tc>
        <w:tc>
          <w:tcPr>
            <w:tcW w:type="dxa" w:w="3360"/>
            <w:tcMar>
              <w:top w:w="90" w:type="dxa"/>
              <w:bottom w:w="90" w:type="dxa"/>
              <w:start w:w="110" w:type="dxa"/>
              <w:end w:w="110" w:type="dxa"/>
            </w:tcMar>
            <w:vAlign w:val="top"/>
          </w:tcPr>
          <w:p>
            <w:r>
              <w:t>Encrypted S3-compatible object storage</w:t>
            </w:r>
          </w:p>
        </w:tc>
        <w:tc>
          <w:tcPr>
            <w:tcW w:type="dxa" w:w="3360"/>
            <w:tcMar>
              <w:top w:w="90" w:type="dxa"/>
              <w:bottom w:w="90" w:type="dxa"/>
              <w:start w:w="110" w:type="dxa"/>
              <w:end w:w="110" w:type="dxa"/>
            </w:tcMar>
            <w:vAlign w:val="top"/>
          </w:tcPr>
          <w:p>
            <w:r>
              <w:t>Keeps large files out of transactional database.</w:t>
            </w:r>
          </w:p>
        </w:tc>
      </w:tr>
      <w:tr>
        <w:tc>
          <w:tcPr>
            <w:tcW w:type="dxa" w:w="3360"/>
            <w:tcMar>
              <w:top w:w="90" w:type="dxa"/>
              <w:bottom w:w="90" w:type="dxa"/>
              <w:start w:w="110" w:type="dxa"/>
              <w:end w:w="110" w:type="dxa"/>
            </w:tcMar>
            <w:vAlign w:val="top"/>
          </w:tcPr>
          <w:p>
            <w:r>
              <w:t>Search</w:t>
            </w:r>
          </w:p>
        </w:tc>
        <w:tc>
          <w:tcPr>
            <w:tcW w:type="dxa" w:w="3360"/>
            <w:tcMar>
              <w:top w:w="90" w:type="dxa"/>
              <w:bottom w:w="90" w:type="dxa"/>
              <w:start w:w="110" w:type="dxa"/>
              <w:end w:w="110" w:type="dxa"/>
            </w:tcMar>
            <w:vAlign w:val="top"/>
          </w:tcPr>
          <w:p>
            <w:r>
              <w:t>PostgreSQL first; OpenSearch only when scale/use case requires</w:t>
            </w:r>
          </w:p>
        </w:tc>
        <w:tc>
          <w:tcPr>
            <w:tcW w:type="dxa" w:w="3360"/>
            <w:tcMar>
              <w:top w:w="90" w:type="dxa"/>
              <w:bottom w:w="90" w:type="dxa"/>
              <w:start w:w="110" w:type="dxa"/>
              <w:end w:w="110" w:type="dxa"/>
            </w:tcMar>
            <w:vAlign w:val="top"/>
          </w:tcPr>
          <w:p>
            <w:r>
              <w:t>Avoid premature infrastructure complexity.</w:t>
            </w:r>
          </w:p>
        </w:tc>
      </w:tr>
      <w:tr>
        <w:tc>
          <w:tcPr>
            <w:tcW w:type="dxa" w:w="3360"/>
            <w:tcMar>
              <w:top w:w="90" w:type="dxa"/>
              <w:bottom w:w="90" w:type="dxa"/>
              <w:start w:w="110" w:type="dxa"/>
              <w:end w:w="110" w:type="dxa"/>
            </w:tcMar>
            <w:vAlign w:val="top"/>
          </w:tcPr>
          <w:p>
            <w:r>
              <w:t>AI services</w:t>
            </w:r>
          </w:p>
        </w:tc>
        <w:tc>
          <w:tcPr>
            <w:tcW w:type="dxa" w:w="3360"/>
            <w:tcMar>
              <w:top w:w="90" w:type="dxa"/>
              <w:bottom w:w="90" w:type="dxa"/>
              <w:start w:w="110" w:type="dxa"/>
              <w:end w:w="110" w:type="dxa"/>
            </w:tcMar>
            <w:vAlign w:val="top"/>
          </w:tcPr>
          <w:p>
            <w:r>
              <w:t>Python/FastAPI isolated services where needed</w:t>
            </w:r>
          </w:p>
        </w:tc>
        <w:tc>
          <w:tcPr>
            <w:tcW w:type="dxa" w:w="3360"/>
            <w:tcMar>
              <w:top w:w="90" w:type="dxa"/>
              <w:bottom w:w="90" w:type="dxa"/>
              <w:start w:w="110" w:type="dxa"/>
              <w:end w:w="110" w:type="dxa"/>
            </w:tcMar>
            <w:vAlign w:val="top"/>
          </w:tcPr>
          <w:p>
            <w:r>
              <w:t>Good ML ecosystem while keeping finance core deterministic.</w:t>
            </w:r>
          </w:p>
        </w:tc>
      </w:tr>
      <w:tr>
        <w:tc>
          <w:tcPr>
            <w:tcW w:type="dxa" w:w="3360"/>
            <w:tcMar>
              <w:top w:w="90" w:type="dxa"/>
              <w:bottom w:w="90" w:type="dxa"/>
              <w:start w:w="110" w:type="dxa"/>
              <w:end w:w="110" w:type="dxa"/>
            </w:tcMar>
            <w:vAlign w:val="top"/>
          </w:tcPr>
          <w:p>
            <w:r>
              <w:t>Stellar contracts</w:t>
            </w:r>
          </w:p>
        </w:tc>
        <w:tc>
          <w:tcPr>
            <w:tcW w:type="dxa" w:w="3360"/>
            <w:tcMar>
              <w:top w:w="90" w:type="dxa"/>
              <w:bottom w:w="90" w:type="dxa"/>
              <w:start w:w="110" w:type="dxa"/>
              <w:end w:w="110" w:type="dxa"/>
            </w:tcMar>
            <w:vAlign w:val="top"/>
          </w:tcPr>
          <w:p>
            <w:r>
              <w:t>Rust + Soroban SDK</w:t>
            </w:r>
          </w:p>
        </w:tc>
        <w:tc>
          <w:tcPr>
            <w:tcW w:type="dxa" w:w="3360"/>
            <w:tcMar>
              <w:top w:w="90" w:type="dxa"/>
              <w:bottom w:w="90" w:type="dxa"/>
              <w:start w:w="110" w:type="dxa"/>
              <w:end w:w="110" w:type="dxa"/>
            </w:tcMar>
            <w:vAlign w:val="top"/>
          </w:tcPr>
          <w:p>
            <w:r>
              <w:t>Native Stellar smart-contract development path.</w:t>
            </w:r>
          </w:p>
        </w:tc>
      </w:tr>
      <w:tr>
        <w:tc>
          <w:tcPr>
            <w:tcW w:type="dxa" w:w="3360"/>
            <w:tcMar>
              <w:top w:w="90" w:type="dxa"/>
              <w:bottom w:w="90" w:type="dxa"/>
              <w:start w:w="110" w:type="dxa"/>
              <w:end w:w="110" w:type="dxa"/>
            </w:tcMar>
            <w:vAlign w:val="top"/>
          </w:tcPr>
          <w:p>
            <w:r>
              <w:t>Observability</w:t>
            </w:r>
          </w:p>
        </w:tc>
        <w:tc>
          <w:tcPr>
            <w:tcW w:type="dxa" w:w="3360"/>
            <w:tcMar>
              <w:top w:w="90" w:type="dxa"/>
              <w:bottom w:w="90" w:type="dxa"/>
              <w:start w:w="110" w:type="dxa"/>
              <w:end w:w="110" w:type="dxa"/>
            </w:tcMar>
            <w:vAlign w:val="top"/>
          </w:tcPr>
          <w:p>
            <w:r>
              <w:t>OpenTelemetry + Prometheus/Grafana or managed equivalents</w:t>
            </w:r>
          </w:p>
        </w:tc>
        <w:tc>
          <w:tcPr>
            <w:tcW w:type="dxa" w:w="3360"/>
            <w:tcMar>
              <w:top w:w="90" w:type="dxa"/>
              <w:bottom w:w="90" w:type="dxa"/>
              <w:start w:w="110" w:type="dxa"/>
              <w:end w:w="110" w:type="dxa"/>
            </w:tcMar>
            <w:vAlign w:val="top"/>
          </w:tcPr>
          <w:p>
            <w:r>
              <w:t>Metrics, traces, alerting and operational evidence.</w:t>
            </w:r>
          </w:p>
        </w:tc>
      </w:tr>
      <w:tr>
        <w:tc>
          <w:tcPr>
            <w:tcW w:type="dxa" w:w="3360"/>
            <w:tcMar>
              <w:top w:w="90" w:type="dxa"/>
              <w:bottom w:w="90" w:type="dxa"/>
              <w:start w:w="110" w:type="dxa"/>
              <w:end w:w="110" w:type="dxa"/>
            </w:tcMar>
            <w:vAlign w:val="top"/>
          </w:tcPr>
          <w:p>
            <w:r>
              <w:t>Cloud</w:t>
            </w:r>
          </w:p>
        </w:tc>
        <w:tc>
          <w:tcPr>
            <w:tcW w:type="dxa" w:w="3360"/>
            <w:tcMar>
              <w:top w:w="90" w:type="dxa"/>
              <w:bottom w:w="90" w:type="dxa"/>
              <w:start w:w="110" w:type="dxa"/>
              <w:end w:w="110" w:type="dxa"/>
            </w:tcMar>
            <w:vAlign w:val="top"/>
          </w:tcPr>
          <w:p>
            <w:r>
              <w:t>AWS/GCP/Azure based on team capability and Uganda/region requirements</w:t>
            </w:r>
          </w:p>
        </w:tc>
        <w:tc>
          <w:tcPr>
            <w:tcW w:type="dxa" w:w="3360"/>
            <w:tcMar>
              <w:top w:w="90" w:type="dxa"/>
              <w:bottom w:w="90" w:type="dxa"/>
              <w:start w:w="110" w:type="dxa"/>
              <w:end w:w="110" w:type="dxa"/>
            </w:tcMar>
            <w:vAlign w:val="top"/>
          </w:tcPr>
          <w:p>
            <w:r>
              <w:t>Use managed services and infrastructure-as-code where practical.</w:t>
            </w:r>
          </w:p>
        </w:tc>
      </w:tr>
      <w:tr>
        <w:tc>
          <w:tcPr>
            <w:tcW w:type="dxa" w:w="3360"/>
            <w:tcMar>
              <w:top w:w="90" w:type="dxa"/>
              <w:bottom w:w="90" w:type="dxa"/>
              <w:start w:w="110" w:type="dxa"/>
              <w:end w:w="110" w:type="dxa"/>
            </w:tcMar>
            <w:vAlign w:val="top"/>
          </w:tcPr>
          <w:p>
            <w:r>
              <w:t>CI/CD</w:t>
            </w:r>
          </w:p>
        </w:tc>
        <w:tc>
          <w:tcPr>
            <w:tcW w:type="dxa" w:w="3360"/>
            <w:tcMar>
              <w:top w:w="90" w:type="dxa"/>
              <w:bottom w:w="90" w:type="dxa"/>
              <w:start w:w="110" w:type="dxa"/>
              <w:end w:w="110" w:type="dxa"/>
            </w:tcMar>
            <w:vAlign w:val="top"/>
          </w:tcPr>
          <w:p>
            <w:r>
              <w:t>GitHub Actions or equivalent</w:t>
            </w:r>
          </w:p>
        </w:tc>
        <w:tc>
          <w:tcPr>
            <w:tcW w:type="dxa" w:w="3360"/>
            <w:tcMar>
              <w:top w:w="90" w:type="dxa"/>
              <w:bottom w:w="90" w:type="dxa"/>
              <w:start w:w="110" w:type="dxa"/>
              <w:end w:w="110" w:type="dxa"/>
            </w:tcMar>
            <w:vAlign w:val="top"/>
          </w:tcPr>
          <w:p>
            <w:r>
              <w:t>Automated test, security and deployment gates.</w:t>
            </w:r>
          </w:p>
        </w:tc>
      </w:tr>
    </w:tbl>
    <w:p>
      <w:pPr>
        <w:spacing w:after="20"/>
      </w:pPr>
    </w:p>
    <w:p>
      <w:r>
        <w:t>The stack is a starting architecture, not a requirement to deploy every listed technology on day one. The team should prefer the simplest managed component that meets reliability, security and cost requirements.</w:t>
      </w:r>
    </w:p>
    <w:p>
      <w:pPr>
        <w:pStyle w:val="Heading1"/>
      </w:pPr>
      <w:r>
        <w:t>26. API and Integration Principles</w:t>
      </w:r>
    </w:p>
    <w:p>
      <w:pPr>
        <w:pStyle w:val="ListBullet"/>
      </w:pPr>
      <w:r>
        <w:t>Version public APIs.</w:t>
      </w:r>
    </w:p>
    <w:p>
      <w:pPr>
        <w:pStyle w:val="ListBullet"/>
      </w:pPr>
      <w:r>
        <w:t>Use signed webhooks with replay protection.</w:t>
      </w:r>
    </w:p>
    <w:p>
      <w:pPr>
        <w:pStyle w:val="ListBullet"/>
      </w:pPr>
      <w:r>
        <w:t>Use idempotency keys for money-related commands.</w:t>
      </w:r>
    </w:p>
    <w:p>
      <w:pPr>
        <w:pStyle w:val="ListBullet"/>
      </w:pPr>
      <w:r>
        <w:t>Validate all external payloads.</w:t>
      </w:r>
    </w:p>
    <w:p>
      <w:pPr>
        <w:pStyle w:val="ListBullet"/>
      </w:pPr>
      <w:r>
        <w:t>Maintain provider-specific adapters behind internal interfaces.</w:t>
      </w:r>
    </w:p>
    <w:p>
      <w:pPr>
        <w:pStyle w:val="ListBullet"/>
      </w:pPr>
      <w:r>
        <w:t>Store provider transaction references for reconciliation.</w:t>
      </w:r>
    </w:p>
    <w:p>
      <w:pPr>
        <w:pStyle w:val="ListBullet"/>
      </w:pPr>
      <w:r>
        <w:t>Never expose direct database credentials to integration partners.</w:t>
      </w:r>
    </w:p>
    <w:p>
      <w:pPr>
        <w:pStyle w:val="ListBullet"/>
      </w:pPr>
      <w:r>
        <w:t>Provide sandbox/test environments for sponsor and payment integrations.</w:t>
      </w:r>
    </w:p>
    <w:p>
      <w:pPr>
        <w:pStyle w:val="Heading1"/>
      </w:pPr>
      <w:r>
        <w:t>27. Non-Functional Requirements</w:t>
      </w:r>
    </w:p>
    <w:tbl>
      <w:tblPr>
        <w:tblStyle w:val="TableGrid"/>
        <w:tblW w:type="auto" w:w="0"/>
        <w:jc w:val="center"/>
        <w:tblLook w:firstColumn="1" w:firstRow="1" w:lastColumn="0" w:lastRow="0" w:noHBand="0" w:noVBand="1" w:val="04A0"/>
      </w:tblPr>
      <w:tblGrid>
        <w:gridCol w:w="5040"/>
        <w:gridCol w:w="5040"/>
      </w:tblGrid>
      <w:tr>
        <w:tc>
          <w:tcPr>
            <w:tcW w:type="dxa" w:w="5040"/>
            <w:shd w:fill="246A73"/>
            <w:tcMar>
              <w:top w:w="90" w:type="dxa"/>
              <w:bottom w:w="90" w:type="dxa"/>
              <w:start w:w="110" w:type="dxa"/>
              <w:end w:w="110" w:type="dxa"/>
            </w:tcMar>
          </w:tcPr>
          <w:p>
            <w:r>
              <w:rPr>
                <w:b/>
                <w:color w:val="FFFFFF"/>
              </w:rPr>
              <w:t>Category</w:t>
            </w:r>
          </w:p>
        </w:tc>
        <w:tc>
          <w:tcPr>
            <w:tcW w:type="dxa" w:w="5040"/>
            <w:shd w:fill="246A73"/>
            <w:tcMar>
              <w:top w:w="90" w:type="dxa"/>
              <w:bottom w:w="90" w:type="dxa"/>
              <w:start w:w="110" w:type="dxa"/>
              <w:end w:w="110" w:type="dxa"/>
            </w:tcMar>
          </w:tcPr>
          <w:p>
            <w:r>
              <w:rPr>
                <w:b/>
                <w:color w:val="FFFFFF"/>
              </w:rPr>
              <w:t>Requirement</w:t>
            </w:r>
          </w:p>
        </w:tc>
      </w:tr>
      <w:tr>
        <w:tc>
          <w:tcPr>
            <w:tcW w:type="dxa" w:w="5040"/>
            <w:tcMar>
              <w:top w:w="90" w:type="dxa"/>
              <w:bottom w:w="90" w:type="dxa"/>
              <w:start w:w="110" w:type="dxa"/>
              <w:end w:w="110" w:type="dxa"/>
            </w:tcMar>
            <w:vAlign w:val="top"/>
          </w:tcPr>
          <w:p>
            <w:r>
              <w:t>Availability</w:t>
            </w:r>
          </w:p>
        </w:tc>
        <w:tc>
          <w:tcPr>
            <w:tcW w:type="dxa" w:w="5040"/>
            <w:tcMar>
              <w:top w:w="90" w:type="dxa"/>
              <w:bottom w:w="90" w:type="dxa"/>
              <w:start w:w="110" w:type="dxa"/>
              <w:end w:w="110" w:type="dxa"/>
            </w:tcMar>
            <w:vAlign w:val="top"/>
          </w:tcPr>
          <w:p>
            <w:r>
              <w:t>Core school ledger and registration target high availability; external AI/language outages must not stop core operations.</w:t>
            </w:r>
          </w:p>
        </w:tc>
      </w:tr>
      <w:tr>
        <w:tc>
          <w:tcPr>
            <w:tcW w:type="dxa" w:w="5040"/>
            <w:tcMar>
              <w:top w:w="90" w:type="dxa"/>
              <w:bottom w:w="90" w:type="dxa"/>
              <w:start w:w="110" w:type="dxa"/>
              <w:end w:w="110" w:type="dxa"/>
            </w:tcMar>
            <w:vAlign w:val="top"/>
          </w:tcPr>
          <w:p>
            <w:r>
              <w:t>Performance</w:t>
            </w:r>
          </w:p>
        </w:tc>
        <w:tc>
          <w:tcPr>
            <w:tcW w:type="dxa" w:w="5040"/>
            <w:tcMar>
              <w:top w:w="90" w:type="dxa"/>
              <w:bottom w:w="90" w:type="dxa"/>
              <w:start w:w="110" w:type="dxa"/>
              <w:end w:w="110" w:type="dxa"/>
            </w:tcMar>
            <w:vAlign w:val="top"/>
          </w:tcPr>
          <w:p>
            <w:r>
              <w:t>Common student lookup and ledger views should feel immediate on ordinary school connections.</w:t>
            </w:r>
          </w:p>
        </w:tc>
      </w:tr>
      <w:tr>
        <w:tc>
          <w:tcPr>
            <w:tcW w:type="dxa" w:w="5040"/>
            <w:tcMar>
              <w:top w:w="90" w:type="dxa"/>
              <w:bottom w:w="90" w:type="dxa"/>
              <w:start w:w="110" w:type="dxa"/>
              <w:end w:w="110" w:type="dxa"/>
            </w:tcMar>
            <w:vAlign w:val="top"/>
          </w:tcPr>
          <w:p>
            <w:r>
              <w:t>Scalability</w:t>
            </w:r>
          </w:p>
        </w:tc>
        <w:tc>
          <w:tcPr>
            <w:tcW w:type="dxa" w:w="5040"/>
            <w:tcMar>
              <w:top w:w="90" w:type="dxa"/>
              <w:bottom w:w="90" w:type="dxa"/>
              <w:start w:w="110" w:type="dxa"/>
              <w:end w:w="110" w:type="dxa"/>
            </w:tcMar>
            <w:vAlign w:val="top"/>
          </w:tcPr>
          <w:p>
            <w:r>
              <w:t>Multi-tenant design should scale from a pilot school to many institutions without cross-tenant leakage.</w:t>
            </w:r>
          </w:p>
        </w:tc>
      </w:tr>
      <w:tr>
        <w:tc>
          <w:tcPr>
            <w:tcW w:type="dxa" w:w="5040"/>
            <w:tcMar>
              <w:top w:w="90" w:type="dxa"/>
              <w:bottom w:w="90" w:type="dxa"/>
              <w:start w:w="110" w:type="dxa"/>
              <w:end w:w="110" w:type="dxa"/>
            </w:tcMar>
            <w:vAlign w:val="top"/>
          </w:tcPr>
          <w:p>
            <w:r>
              <w:t>Auditability</w:t>
            </w:r>
          </w:p>
        </w:tc>
        <w:tc>
          <w:tcPr>
            <w:tcW w:type="dxa" w:w="5040"/>
            <w:tcMar>
              <w:top w:w="90" w:type="dxa"/>
              <w:bottom w:w="90" w:type="dxa"/>
              <w:start w:w="110" w:type="dxa"/>
              <w:end w:w="110" w:type="dxa"/>
            </w:tcMar>
            <w:vAlign w:val="top"/>
          </w:tcPr>
          <w:p>
            <w:r>
              <w:t>Every consequential financial action is reconstructable.</w:t>
            </w:r>
          </w:p>
        </w:tc>
      </w:tr>
      <w:tr>
        <w:tc>
          <w:tcPr>
            <w:tcW w:type="dxa" w:w="5040"/>
            <w:tcMar>
              <w:top w:w="90" w:type="dxa"/>
              <w:bottom w:w="90" w:type="dxa"/>
              <w:start w:w="110" w:type="dxa"/>
              <w:end w:w="110" w:type="dxa"/>
            </w:tcMar>
            <w:vAlign w:val="top"/>
          </w:tcPr>
          <w:p>
            <w:r>
              <w:t>Accessibility</w:t>
            </w:r>
          </w:p>
        </w:tc>
        <w:tc>
          <w:tcPr>
            <w:tcW w:type="dxa" w:w="5040"/>
            <w:tcMar>
              <w:top w:w="90" w:type="dxa"/>
              <w:bottom w:w="90" w:type="dxa"/>
              <w:start w:w="110" w:type="dxa"/>
              <w:end w:w="110" w:type="dxa"/>
            </w:tcMar>
            <w:vAlign w:val="top"/>
          </w:tcPr>
          <w:p>
            <w:r>
              <w:t>Responsive interfaces, keyboard-friendly web UI and readable contrast; basic-phone path later for parents.</w:t>
            </w:r>
          </w:p>
        </w:tc>
      </w:tr>
      <w:tr>
        <w:tc>
          <w:tcPr>
            <w:tcW w:type="dxa" w:w="5040"/>
            <w:tcMar>
              <w:top w:w="90" w:type="dxa"/>
              <w:bottom w:w="90" w:type="dxa"/>
              <w:start w:w="110" w:type="dxa"/>
              <w:end w:w="110" w:type="dxa"/>
            </w:tcMar>
            <w:vAlign w:val="top"/>
          </w:tcPr>
          <w:p>
            <w:r>
              <w:t>Reliability</w:t>
            </w:r>
          </w:p>
        </w:tc>
        <w:tc>
          <w:tcPr>
            <w:tcW w:type="dxa" w:w="5040"/>
            <w:tcMar>
              <w:top w:w="90" w:type="dxa"/>
              <w:bottom w:w="90" w:type="dxa"/>
              <w:start w:w="110" w:type="dxa"/>
              <w:end w:w="110" w:type="dxa"/>
            </w:tcMar>
            <w:vAlign w:val="top"/>
          </w:tcPr>
          <w:p>
            <w:r>
              <w:t>Retries are safe and do not duplicate money movements.</w:t>
            </w:r>
          </w:p>
        </w:tc>
      </w:tr>
      <w:tr>
        <w:tc>
          <w:tcPr>
            <w:tcW w:type="dxa" w:w="5040"/>
            <w:tcMar>
              <w:top w:w="90" w:type="dxa"/>
              <w:bottom w:w="90" w:type="dxa"/>
              <w:start w:w="110" w:type="dxa"/>
              <w:end w:w="110" w:type="dxa"/>
            </w:tcMar>
            <w:vAlign w:val="top"/>
          </w:tcPr>
          <w:p>
            <w:r>
              <w:t>Maintainability</w:t>
            </w:r>
          </w:p>
        </w:tc>
        <w:tc>
          <w:tcPr>
            <w:tcW w:type="dxa" w:w="5040"/>
            <w:tcMar>
              <w:top w:w="90" w:type="dxa"/>
              <w:bottom w:w="90" w:type="dxa"/>
              <w:start w:w="110" w:type="dxa"/>
              <w:end w:w="110" w:type="dxa"/>
            </w:tcMar>
            <w:vAlign w:val="top"/>
          </w:tcPr>
          <w:p>
            <w:r>
              <w:t>Modular domain services, automated tests, documented APIs and migration strategy.</w:t>
            </w:r>
          </w:p>
        </w:tc>
      </w:tr>
      <w:tr>
        <w:tc>
          <w:tcPr>
            <w:tcW w:type="dxa" w:w="5040"/>
            <w:tcMar>
              <w:top w:w="90" w:type="dxa"/>
              <w:bottom w:w="90" w:type="dxa"/>
              <w:start w:w="110" w:type="dxa"/>
              <w:end w:w="110" w:type="dxa"/>
            </w:tcMar>
            <w:vAlign w:val="top"/>
          </w:tcPr>
          <w:p>
            <w:r>
              <w:t>Interoperability</w:t>
            </w:r>
          </w:p>
        </w:tc>
        <w:tc>
          <w:tcPr>
            <w:tcW w:type="dxa" w:w="5040"/>
            <w:tcMar>
              <w:top w:w="90" w:type="dxa"/>
              <w:bottom w:w="90" w:type="dxa"/>
              <w:start w:w="110" w:type="dxa"/>
              <w:end w:w="110" w:type="dxa"/>
            </w:tcMar>
            <w:vAlign w:val="top"/>
          </w:tcPr>
          <w:p>
            <w:r>
              <w:t>Payment and messaging providers are adapters, not hard-coded dependencies.</w:t>
            </w:r>
          </w:p>
        </w:tc>
      </w:tr>
      <w:tr>
        <w:tc>
          <w:tcPr>
            <w:tcW w:type="dxa" w:w="5040"/>
            <w:tcMar>
              <w:top w:w="90" w:type="dxa"/>
              <w:bottom w:w="90" w:type="dxa"/>
              <w:start w:w="110" w:type="dxa"/>
              <w:end w:w="110" w:type="dxa"/>
            </w:tcMar>
            <w:vAlign w:val="top"/>
          </w:tcPr>
          <w:p>
            <w:r>
              <w:t>Data portability</w:t>
            </w:r>
          </w:p>
        </w:tc>
        <w:tc>
          <w:tcPr>
            <w:tcW w:type="dxa" w:w="5040"/>
            <w:tcMar>
              <w:top w:w="90" w:type="dxa"/>
              <w:bottom w:w="90" w:type="dxa"/>
              <w:start w:w="110" w:type="dxa"/>
              <w:end w:w="110" w:type="dxa"/>
            </w:tcMar>
            <w:vAlign w:val="top"/>
          </w:tcPr>
          <w:p>
            <w:r>
              <w:t>Schools can export authorised student/financial data in practical formats.</w:t>
            </w:r>
          </w:p>
        </w:tc>
      </w:tr>
      <w:tr>
        <w:tc>
          <w:tcPr>
            <w:tcW w:type="dxa" w:w="5040"/>
            <w:tcMar>
              <w:top w:w="90" w:type="dxa"/>
              <w:bottom w:w="90" w:type="dxa"/>
              <w:start w:w="110" w:type="dxa"/>
              <w:end w:w="110" w:type="dxa"/>
            </w:tcMar>
            <w:vAlign w:val="top"/>
          </w:tcPr>
          <w:p>
            <w:r>
              <w:t>Observability</w:t>
            </w:r>
          </w:p>
        </w:tc>
        <w:tc>
          <w:tcPr>
            <w:tcW w:type="dxa" w:w="5040"/>
            <w:tcMar>
              <w:top w:w="90" w:type="dxa"/>
              <w:bottom w:w="90" w:type="dxa"/>
              <w:start w:w="110" w:type="dxa"/>
              <w:end w:w="110" w:type="dxa"/>
            </w:tcMar>
            <w:vAlign w:val="top"/>
          </w:tcPr>
          <w:p>
            <w:r>
              <w:t>Metrics, logs and alerts cover application, integrations, financial workflows and settlement exceptions.</w:t>
            </w:r>
          </w:p>
        </w:tc>
      </w:tr>
    </w:tbl>
    <w:p>
      <w:pPr>
        <w:spacing w:after="20"/>
      </w:pPr>
    </w:p>
    <w:p>
      <w:pPr>
        <w:pStyle w:val="Heading1"/>
      </w:pPr>
      <w:r>
        <w:t>28. Key User Stories and Acceptance Criteria</w:t>
      </w:r>
    </w:p>
    <w:tbl>
      <w:tblPr>
        <w:tblStyle w:val="TableGrid"/>
        <w:tblW w:type="auto" w:w="0"/>
        <w:jc w:val="center"/>
        <w:tblLook w:firstColumn="1" w:firstRow="1" w:lastColumn="0" w:lastRow="0" w:noHBand="0" w:noVBand="1" w:val="04A0"/>
      </w:tblPr>
      <w:tblGrid>
        <w:gridCol w:w="5040"/>
        <w:gridCol w:w="5040"/>
      </w:tblGrid>
      <w:tr>
        <w:tc>
          <w:tcPr>
            <w:tcW w:type="dxa" w:w="5040"/>
            <w:shd w:fill="246A73"/>
            <w:tcMar>
              <w:top w:w="90" w:type="dxa"/>
              <w:bottom w:w="90" w:type="dxa"/>
              <w:start w:w="110" w:type="dxa"/>
              <w:end w:w="110" w:type="dxa"/>
            </w:tcMar>
          </w:tcPr>
          <w:p>
            <w:r>
              <w:rPr>
                <w:b/>
                <w:color w:val="FFFFFF"/>
              </w:rPr>
              <w:t>User story</w:t>
            </w:r>
          </w:p>
        </w:tc>
        <w:tc>
          <w:tcPr>
            <w:tcW w:type="dxa" w:w="5040"/>
            <w:shd w:fill="246A73"/>
            <w:tcMar>
              <w:top w:w="90" w:type="dxa"/>
              <w:bottom w:w="90" w:type="dxa"/>
              <w:start w:w="110" w:type="dxa"/>
              <w:end w:w="110" w:type="dxa"/>
            </w:tcMar>
          </w:tcPr>
          <w:p>
            <w:r>
              <w:rPr>
                <w:b/>
                <w:color w:val="FFFFFF"/>
              </w:rPr>
              <w:t>Acceptance criteria</w:t>
            </w:r>
          </w:p>
        </w:tc>
      </w:tr>
      <w:tr>
        <w:tc>
          <w:tcPr>
            <w:tcW w:type="dxa" w:w="5040"/>
            <w:tcMar>
              <w:top w:w="90" w:type="dxa"/>
              <w:bottom w:w="90" w:type="dxa"/>
              <w:start w:w="110" w:type="dxa"/>
              <w:end w:w="110" w:type="dxa"/>
            </w:tcMar>
            <w:vAlign w:val="top"/>
          </w:tcPr>
          <w:p>
            <w:r>
              <w:t>As a bursar, I can import payments and see unmatched transactions.</w:t>
            </w:r>
          </w:p>
        </w:tc>
        <w:tc>
          <w:tcPr>
            <w:tcW w:type="dxa" w:w="5040"/>
            <w:tcMar>
              <w:top w:w="90" w:type="dxa"/>
              <w:bottom w:w="90" w:type="dxa"/>
              <w:start w:w="110" w:type="dxa"/>
              <w:end w:w="110" w:type="dxa"/>
            </w:tcMar>
            <w:vAlign w:val="top"/>
          </w:tcPr>
          <w:p>
            <w:r>
              <w:t>Imported transactions preserve source reference; unmatched items do not alter learner balance; suggested matches can be reviewed.</w:t>
            </w:r>
          </w:p>
        </w:tc>
      </w:tr>
      <w:tr>
        <w:tc>
          <w:tcPr>
            <w:tcW w:type="dxa" w:w="5040"/>
            <w:tcMar>
              <w:top w:w="90" w:type="dxa"/>
              <w:bottom w:w="90" w:type="dxa"/>
              <w:start w:w="110" w:type="dxa"/>
              <w:end w:w="110" w:type="dxa"/>
            </w:tcMar>
            <w:vAlign w:val="top"/>
          </w:tcPr>
          <w:p>
            <w:r>
              <w:t>As a bursar, I can record cash and issue a receipt.</w:t>
            </w:r>
          </w:p>
        </w:tc>
        <w:tc>
          <w:tcPr>
            <w:tcW w:type="dxa" w:w="5040"/>
            <w:tcMar>
              <w:top w:w="90" w:type="dxa"/>
              <w:bottom w:w="90" w:type="dxa"/>
              <w:start w:w="110" w:type="dxa"/>
              <w:end w:w="110" w:type="dxa"/>
            </w:tcMar>
            <w:vAlign w:val="top"/>
          </w:tcPr>
          <w:p>
            <w:r>
              <w:t>Cash entry requires authorised staff; unique receipt generated; ledger updated; audit event created.</w:t>
            </w:r>
          </w:p>
        </w:tc>
      </w:tr>
      <w:tr>
        <w:tc>
          <w:tcPr>
            <w:tcW w:type="dxa" w:w="5040"/>
            <w:tcMar>
              <w:top w:w="90" w:type="dxa"/>
              <w:bottom w:w="90" w:type="dxa"/>
              <w:start w:w="110" w:type="dxa"/>
              <w:end w:w="110" w:type="dxa"/>
            </w:tcMar>
            <w:vAlign w:val="top"/>
          </w:tcPr>
          <w:p>
            <w:r>
              <w:t>As a parent, I can see what remains to be paid.</w:t>
            </w:r>
          </w:p>
        </w:tc>
        <w:tc>
          <w:tcPr>
            <w:tcW w:type="dxa" w:w="5040"/>
            <w:tcMar>
              <w:top w:w="90" w:type="dxa"/>
              <w:bottom w:w="90" w:type="dxa"/>
              <w:start w:w="110" w:type="dxa"/>
              <w:end w:w="110" w:type="dxa"/>
            </w:tcMar>
            <w:vAlign w:val="top"/>
          </w:tcPr>
          <w:p>
            <w:r>
              <w:t>Only authorised child visible; balance derived from ledger; latest reconciled payments shown.</w:t>
            </w:r>
          </w:p>
        </w:tc>
      </w:tr>
      <w:tr>
        <w:tc>
          <w:tcPr>
            <w:tcW w:type="dxa" w:w="5040"/>
            <w:tcMar>
              <w:top w:w="90" w:type="dxa"/>
              <w:bottom w:w="90" w:type="dxa"/>
              <w:start w:w="110" w:type="dxa"/>
              <w:end w:w="110" w:type="dxa"/>
            </w:tcMar>
            <w:vAlign w:val="top"/>
          </w:tcPr>
          <w:p>
            <w:r>
              <w:t>As a school admin, I can move a learner to a new stream without losing history.</w:t>
            </w:r>
          </w:p>
        </w:tc>
        <w:tc>
          <w:tcPr>
            <w:tcW w:type="dxa" w:w="5040"/>
            <w:tcMar>
              <w:top w:w="90" w:type="dxa"/>
              <w:bottom w:w="90" w:type="dxa"/>
              <w:start w:w="110" w:type="dxa"/>
              <w:end w:w="110" w:type="dxa"/>
            </w:tcMar>
            <w:vAlign w:val="top"/>
          </w:tcPr>
          <w:p>
            <w:r>
              <w:t>New enrollment placement recorded; historical enrollment retained.</w:t>
            </w:r>
          </w:p>
        </w:tc>
      </w:tr>
      <w:tr>
        <w:tc>
          <w:tcPr>
            <w:tcW w:type="dxa" w:w="5040"/>
            <w:tcMar>
              <w:top w:w="90" w:type="dxa"/>
              <w:bottom w:w="90" w:type="dxa"/>
              <w:start w:w="110" w:type="dxa"/>
              <w:end w:w="110" w:type="dxa"/>
            </w:tcMar>
            <w:vAlign w:val="top"/>
          </w:tcPr>
          <w:p>
            <w:r>
              <w:t>As a sponsor, I can create a programme and allocate support.</w:t>
            </w:r>
          </w:p>
        </w:tc>
        <w:tc>
          <w:tcPr>
            <w:tcW w:type="dxa" w:w="5040"/>
            <w:tcMar>
              <w:top w:w="90" w:type="dxa"/>
              <w:bottom w:w="90" w:type="dxa"/>
              <w:start w:w="110" w:type="dxa"/>
              <w:end w:w="110" w:type="dxa"/>
            </w:tcMar>
            <w:vAlign w:val="top"/>
          </w:tcPr>
          <w:p>
            <w:r>
              <w:t>Only verified/authorised schools and beneficiaries can be selected; programme rules are saved and auditable.</w:t>
            </w:r>
          </w:p>
        </w:tc>
      </w:tr>
      <w:tr>
        <w:tc>
          <w:tcPr>
            <w:tcW w:type="dxa" w:w="5040"/>
            <w:tcMar>
              <w:top w:w="90" w:type="dxa"/>
              <w:bottom w:w="90" w:type="dxa"/>
              <w:start w:w="110" w:type="dxa"/>
              <w:end w:w="110" w:type="dxa"/>
            </w:tcMar>
            <w:vAlign w:val="top"/>
          </w:tcPr>
          <w:p>
            <w:r>
              <w:t>As a sponsor, I can pay using a familiar channel.</w:t>
            </w:r>
          </w:p>
        </w:tc>
        <w:tc>
          <w:tcPr>
            <w:tcW w:type="dxa" w:w="5040"/>
            <w:tcMar>
              <w:top w:w="90" w:type="dxa"/>
              <w:bottom w:w="90" w:type="dxa"/>
              <w:start w:w="110" w:type="dxa"/>
              <w:end w:w="110" w:type="dxa"/>
            </w:tcMar>
            <w:vAlign w:val="top"/>
          </w:tcPr>
          <w:p>
            <w:r>
              <w:t>User is not required to understand a Stellar wallet when a supported fiat route is available.</w:t>
            </w:r>
          </w:p>
        </w:tc>
      </w:tr>
      <w:tr>
        <w:tc>
          <w:tcPr>
            <w:tcW w:type="dxa" w:w="5040"/>
            <w:tcMar>
              <w:top w:w="90" w:type="dxa"/>
              <w:bottom w:w="90" w:type="dxa"/>
              <w:start w:w="110" w:type="dxa"/>
              <w:end w:w="110" w:type="dxa"/>
            </w:tcMar>
            <w:vAlign w:val="top"/>
          </w:tcPr>
          <w:p>
            <w:r>
              <w:t>As a school, I receive sponsored tuition in UGX.</w:t>
            </w:r>
          </w:p>
        </w:tc>
        <w:tc>
          <w:tcPr>
            <w:tcW w:type="dxa" w:w="5040"/>
            <w:tcMar>
              <w:top w:w="90" w:type="dxa"/>
              <w:bottom w:w="90" w:type="dxa"/>
              <w:start w:w="110" w:type="dxa"/>
              <w:end w:w="110" w:type="dxa"/>
            </w:tcMar>
            <w:vAlign w:val="top"/>
          </w:tcPr>
          <w:p>
            <w:r>
              <w:t>Ledger is updated only after required settlement confirmation.</w:t>
            </w:r>
          </w:p>
        </w:tc>
      </w:tr>
      <w:tr>
        <w:tc>
          <w:tcPr>
            <w:tcW w:type="dxa" w:w="5040"/>
            <w:tcMar>
              <w:top w:w="90" w:type="dxa"/>
              <w:bottom w:w="90" w:type="dxa"/>
              <w:start w:w="110" w:type="dxa"/>
              <w:end w:w="110" w:type="dxa"/>
            </w:tcMar>
            <w:vAlign w:val="top"/>
          </w:tcPr>
          <w:p>
            <w:r>
              <w:t>As an owner/board member, I can approve a sensitive adjustment.</w:t>
            </w:r>
          </w:p>
        </w:tc>
        <w:tc>
          <w:tcPr>
            <w:tcW w:type="dxa" w:w="5040"/>
            <w:tcMar>
              <w:top w:w="90" w:type="dxa"/>
              <w:bottom w:w="90" w:type="dxa"/>
              <w:start w:w="110" w:type="dxa"/>
              <w:end w:w="110" w:type="dxa"/>
            </w:tcMar>
            <w:vAlign w:val="top"/>
          </w:tcPr>
          <w:p>
            <w:r>
              <w:t>Approval policy is checked server-side; action cannot execute before threshold is satisfied.</w:t>
            </w:r>
          </w:p>
        </w:tc>
      </w:tr>
      <w:tr>
        <w:tc>
          <w:tcPr>
            <w:tcW w:type="dxa" w:w="5040"/>
            <w:tcMar>
              <w:top w:w="90" w:type="dxa"/>
              <w:bottom w:w="90" w:type="dxa"/>
              <w:start w:w="110" w:type="dxa"/>
              <w:end w:w="110" w:type="dxa"/>
            </w:tcMar>
            <w:vAlign w:val="top"/>
          </w:tcPr>
          <w:p>
            <w:r>
              <w:t>As an auditor, I can trace a learner payment.</w:t>
            </w:r>
          </w:p>
        </w:tc>
        <w:tc>
          <w:tcPr>
            <w:tcW w:type="dxa" w:w="5040"/>
            <w:tcMar>
              <w:top w:w="90" w:type="dxa"/>
              <w:bottom w:w="90" w:type="dxa"/>
              <w:start w:w="110" w:type="dxa"/>
              <w:end w:w="110" w:type="dxa"/>
            </w:tcMar>
            <w:vAlign w:val="top"/>
          </w:tcPr>
          <w:p>
            <w:r>
              <w:t>Source transaction, allocation, receipt, adjustments and actors are traceable without modifying records.</w:t>
            </w:r>
          </w:p>
        </w:tc>
      </w:tr>
      <w:tr>
        <w:tc>
          <w:tcPr>
            <w:tcW w:type="dxa" w:w="5040"/>
            <w:tcMar>
              <w:top w:w="90" w:type="dxa"/>
              <w:bottom w:w="90" w:type="dxa"/>
              <w:start w:w="110" w:type="dxa"/>
              <w:end w:w="110" w:type="dxa"/>
            </w:tcMar>
            <w:vAlign w:val="top"/>
          </w:tcPr>
          <w:p>
            <w:r>
              <w:t>As an AI user, I can ask why a balance changed.</w:t>
            </w:r>
          </w:p>
        </w:tc>
        <w:tc>
          <w:tcPr>
            <w:tcW w:type="dxa" w:w="5040"/>
            <w:tcMar>
              <w:top w:w="90" w:type="dxa"/>
              <w:bottom w:w="90" w:type="dxa"/>
              <w:start w:w="110" w:type="dxa"/>
              <w:end w:w="110" w:type="dxa"/>
            </w:tcMar>
            <w:vAlign w:val="top"/>
          </w:tcPr>
          <w:p>
            <w:r>
              <w:t>AI answer is grounded in authorised backend results and cannot modify the ledger.</w:t>
            </w:r>
          </w:p>
        </w:tc>
      </w:tr>
    </w:tbl>
    <w:p>
      <w:pPr>
        <w:spacing w:after="20"/>
      </w:pPr>
    </w:p>
    <w:p>
      <w:pPr>
        <w:pStyle w:val="Heading1"/>
      </w:pPr>
      <w:r>
        <w:t>29. Edge Cases the Product Must Handle</w:t>
      </w:r>
    </w:p>
    <w:p>
      <w:pPr>
        <w:pStyle w:val="ListBullet"/>
      </w:pPr>
      <w:r>
        <w:t>One payment pays for two siblings.</w:t>
      </w:r>
    </w:p>
    <w:p>
      <w:pPr>
        <w:pStyle w:val="ListBullet"/>
      </w:pPr>
      <w:r>
        <w:t>One payment covers tuition plus another fee item.</w:t>
      </w:r>
    </w:p>
    <w:p>
      <w:pPr>
        <w:pStyle w:val="ListBullet"/>
      </w:pPr>
      <w:r>
        <w:t>Parent overpays.</w:t>
      </w:r>
    </w:p>
    <w:p>
      <w:pPr>
        <w:pStyle w:val="ListBullet"/>
      </w:pPr>
      <w:r>
        <w:t>Payment arrives with wrong or missing student code.</w:t>
      </w:r>
    </w:p>
    <w:p>
      <w:pPr>
        <w:pStyle w:val="ListBullet"/>
      </w:pPr>
      <w:r>
        <w:t>Duplicate transaction is imported twice.</w:t>
      </w:r>
    </w:p>
    <w:p>
      <w:pPr>
        <w:pStyle w:val="ListBullet"/>
      </w:pPr>
      <w:r>
        <w:t>Bank reverses a previously reported payment.</w:t>
      </w:r>
    </w:p>
    <w:p>
      <w:pPr>
        <w:pStyle w:val="ListBullet"/>
      </w:pPr>
      <w:r>
        <w:t>Cash receipt was entered against the wrong learner.</w:t>
      </w:r>
    </w:p>
    <w:p>
      <w:pPr>
        <w:pStyle w:val="ListBullet"/>
      </w:pPr>
      <w:r>
        <w:t>Student changes class/stream mid-term.</w:t>
      </w:r>
    </w:p>
    <w:p>
      <w:pPr>
        <w:pStyle w:val="ListBullet"/>
      </w:pPr>
      <w:r>
        <w:t>Student transfers to another participating school.</w:t>
      </w:r>
    </w:p>
    <w:p>
      <w:pPr>
        <w:pStyle w:val="ListBullet"/>
      </w:pPr>
      <w:r>
        <w:t>Student withdraws before a future sponsor release.</w:t>
      </w:r>
    </w:p>
    <w:p>
      <w:pPr>
        <w:pStyle w:val="ListBullet"/>
      </w:pPr>
      <w:r>
        <w:t>Sponsor programme is underfunded.</w:t>
      </w:r>
    </w:p>
    <w:p>
      <w:pPr>
        <w:pStyle w:val="ListBullet"/>
      </w:pPr>
      <w:r>
        <w:t>FX quote expires before off-ramp completes.</w:t>
      </w:r>
    </w:p>
    <w:p>
      <w:pPr>
        <w:pStyle w:val="ListBullet"/>
      </w:pPr>
      <w:r>
        <w:t>On-chain payment succeeds but off-ramp fails.</w:t>
      </w:r>
    </w:p>
    <w:p>
      <w:pPr>
        <w:pStyle w:val="ListBullet"/>
      </w:pPr>
      <w:r>
        <w:t>Off-ramp reports success but school disputes receipt.</w:t>
      </w:r>
    </w:p>
    <w:p>
      <w:pPr>
        <w:pStyle w:val="ListBullet"/>
      </w:pPr>
      <w:r>
        <w:t>School settlement bank account changes.</w:t>
      </w:r>
    </w:p>
    <w:p>
      <w:pPr>
        <w:pStyle w:val="ListBullet"/>
      </w:pPr>
      <w:r>
        <w:t>Guardian phone number changes or is recycled.</w:t>
      </w:r>
    </w:p>
    <w:p>
      <w:pPr>
        <w:pStyle w:val="ListBullet"/>
      </w:pPr>
      <w:r>
        <w:t>AI provider or translation service is unavailable.</w:t>
      </w:r>
    </w:p>
    <w:p>
      <w:pPr>
        <w:pStyle w:val="ListBullet"/>
      </w:pPr>
      <w:r>
        <w:t>Payment provider webhook is delivered repeatedly or out of order.</w:t>
      </w:r>
    </w:p>
    <w:p>
      <w:pPr>
        <w:pStyle w:val="Heading1"/>
      </w:pPr>
      <w:r>
        <w:t>30. Out of Scope for Initial Release</w:t>
      </w:r>
    </w:p>
    <w:p>
      <w:pPr>
        <w:pStyle w:val="ListBullet"/>
      </w:pPr>
      <w:r>
        <w:t>Full examination and report-card system.</w:t>
      </w:r>
    </w:p>
    <w:p>
      <w:pPr>
        <w:pStyle w:val="ListBullet"/>
      </w:pPr>
      <w:r>
        <w:t>Teacher payroll and HR.</w:t>
      </w:r>
    </w:p>
    <w:p>
      <w:pPr>
        <w:pStyle w:val="ListBullet"/>
      </w:pPr>
      <w:r>
        <w:t>Library, transport and hostel management.</w:t>
      </w:r>
    </w:p>
    <w:p>
      <w:pPr>
        <w:pStyle w:val="ListBullet"/>
      </w:pPr>
      <w:r>
        <w:t>Full board meeting/minutes management.</w:t>
      </w:r>
    </w:p>
    <w:p>
      <w:pPr>
        <w:pStyle w:val="ListBullet"/>
      </w:pPr>
      <w:r>
        <w:t>Voice AI as a core dependency.</w:t>
      </w:r>
    </w:p>
    <w:p>
      <w:pPr>
        <w:pStyle w:val="ListBullet"/>
      </w:pPr>
      <w:r>
        <w:t>Large-scale Ministry portal without a formal partnership.</w:t>
      </w:r>
    </w:p>
    <w:p>
      <w:pPr>
        <w:pStyle w:val="ListBullet"/>
      </w:pPr>
      <w:r>
        <w:t>Automatic AI approval of financial decisions.</w:t>
      </w:r>
    </w:p>
    <w:p>
      <w:pPr>
        <w:pStyle w:val="ListBullet"/>
      </w:pPr>
      <w:r>
        <w:t>Publishing student identities or private records on Stellar.</w:t>
      </w:r>
    </w:p>
    <w:p>
      <w:pPr>
        <w:pStyle w:val="ListBullet"/>
      </w:pPr>
      <w:r>
        <w:t>Building HarambeeOne’s own exchange/anchor before a clear business and regulatory case.</w:t>
      </w:r>
    </w:p>
    <w:p>
      <w:pPr>
        <w:pStyle w:val="ListBullet"/>
      </w:pPr>
      <w:r>
        <w:t>Full offline financial posting without server reconciliation.</w:t>
      </w:r>
    </w:p>
    <w:p>
      <w:pPr>
        <w:pStyle w:val="Heading1"/>
      </w:pPr>
      <w:r>
        <w:t>31. Product Phases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246A73"/>
            <w:tcMar>
              <w:top w:w="90" w:type="dxa"/>
              <w:bottom w:w="90" w:type="dxa"/>
              <w:start w:w="110" w:type="dxa"/>
              <w:end w:w="110" w:type="dxa"/>
            </w:tcMar>
          </w:tcPr>
          <w:p>
            <w:r>
              <w:rPr>
                <w:b/>
                <w:color w:val="FFFFFF"/>
              </w:rPr>
              <w:t>Phase</w:t>
            </w:r>
          </w:p>
        </w:tc>
        <w:tc>
          <w:tcPr>
            <w:tcW w:type="dxa" w:w="3360"/>
            <w:shd w:fill="246A73"/>
            <w:tcMar>
              <w:top w:w="90" w:type="dxa"/>
              <w:bottom w:w="90" w:type="dxa"/>
              <w:start w:w="110" w:type="dxa"/>
              <w:end w:w="110" w:type="dxa"/>
            </w:tcMar>
          </w:tcPr>
          <w:p>
            <w:r>
              <w:rPr>
                <w:b/>
                <w:color w:val="FFFFFF"/>
              </w:rPr>
              <w:t>Deliverables</w:t>
            </w:r>
          </w:p>
        </w:tc>
        <w:tc>
          <w:tcPr>
            <w:tcW w:type="dxa" w:w="3360"/>
            <w:shd w:fill="246A73"/>
            <w:tcMar>
              <w:top w:w="90" w:type="dxa"/>
              <w:bottom w:w="90" w:type="dxa"/>
              <w:start w:w="110" w:type="dxa"/>
              <w:end w:w="110" w:type="dxa"/>
            </w:tcMar>
          </w:tcPr>
          <w:p>
            <w:r>
              <w:rPr>
                <w:b/>
                <w:color w:val="FFFFFF"/>
              </w:rPr>
              <w:t>Proof required</w:t>
            </w:r>
          </w:p>
        </w:tc>
      </w:tr>
      <w:tr>
        <w:tc>
          <w:tcPr>
            <w:tcW w:type="dxa" w:w="3360"/>
            <w:tcMar>
              <w:top w:w="90" w:type="dxa"/>
              <w:bottom w:w="90" w:type="dxa"/>
              <w:start w:w="110" w:type="dxa"/>
              <w:end w:w="110" w:type="dxa"/>
            </w:tcMar>
            <w:vAlign w:val="top"/>
          </w:tcPr>
          <w:p>
            <w:r>
              <w:t>0 - Validation</w:t>
            </w:r>
          </w:p>
        </w:tc>
        <w:tc>
          <w:tcPr>
            <w:tcW w:type="dxa" w:w="3360"/>
            <w:tcMar>
              <w:top w:w="90" w:type="dxa"/>
              <w:bottom w:w="90" w:type="dxa"/>
              <w:start w:w="110" w:type="dxa"/>
              <w:end w:w="110" w:type="dxa"/>
            </w:tcMar>
            <w:vAlign w:val="top"/>
          </w:tcPr>
          <w:p>
            <w:r>
              <w:t>Bursar workflow research, school interviews, sponsor interviews, ramp/settlement research, privacy/security review</w:t>
            </w:r>
          </w:p>
        </w:tc>
        <w:tc>
          <w:tcPr>
            <w:tcW w:type="dxa" w:w="3360"/>
            <w:tcMar>
              <w:top w:w="90" w:type="dxa"/>
              <w:bottom w:w="90" w:type="dxa"/>
              <w:start w:w="110" w:type="dxa"/>
              <w:end w:w="110" w:type="dxa"/>
            </w:tcMar>
            <w:vAlign w:val="top"/>
          </w:tcPr>
          <w:p>
            <w:r>
              <w:t>Documented pain, pilot interest and last-mile assumptions.</w:t>
            </w:r>
          </w:p>
        </w:tc>
      </w:tr>
      <w:tr>
        <w:tc>
          <w:tcPr>
            <w:tcW w:type="dxa" w:w="3360"/>
            <w:tcMar>
              <w:top w:w="90" w:type="dxa"/>
              <w:bottom w:w="90" w:type="dxa"/>
              <w:start w:w="110" w:type="dxa"/>
              <w:end w:w="110" w:type="dxa"/>
            </w:tcMar>
            <w:vAlign w:val="top"/>
          </w:tcPr>
          <w:p>
            <w:r>
              <w:t>1 - School Core</w:t>
            </w:r>
          </w:p>
        </w:tc>
        <w:tc>
          <w:tcPr>
            <w:tcW w:type="dxa" w:w="3360"/>
            <w:tcMar>
              <w:top w:w="90" w:type="dxa"/>
              <w:bottom w:w="90" w:type="dxa"/>
              <w:start w:w="110" w:type="dxa"/>
              <w:end w:w="110" w:type="dxa"/>
            </w:tcMar>
            <w:vAlign w:val="top"/>
          </w:tcPr>
          <w:p>
            <w:r>
              <w:t>Registration, enrollment, fee structures, ledger, cash/bank/SchoolPay import, reconciliation, receipts, reports, roles</w:t>
            </w:r>
          </w:p>
        </w:tc>
        <w:tc>
          <w:tcPr>
            <w:tcW w:type="dxa" w:w="3360"/>
            <w:tcMar>
              <w:top w:w="90" w:type="dxa"/>
              <w:bottom w:w="90" w:type="dxa"/>
              <w:start w:w="110" w:type="dxa"/>
              <w:end w:w="110" w:type="dxa"/>
            </w:tcMar>
            <w:vAlign w:val="top"/>
          </w:tcPr>
          <w:p>
            <w:r>
              <w:t>Real school users can operate a term workflow.</w:t>
            </w:r>
          </w:p>
        </w:tc>
      </w:tr>
      <w:tr>
        <w:tc>
          <w:tcPr>
            <w:tcW w:type="dxa" w:w="3360"/>
            <w:tcMar>
              <w:top w:w="90" w:type="dxa"/>
              <w:bottom w:w="90" w:type="dxa"/>
              <w:start w:w="110" w:type="dxa"/>
              <w:end w:w="110" w:type="dxa"/>
            </w:tcMar>
            <w:vAlign w:val="top"/>
          </w:tcPr>
          <w:p>
            <w:r>
              <w:t>2 - Sponsor Core</w:t>
            </w:r>
          </w:p>
        </w:tc>
        <w:tc>
          <w:tcPr>
            <w:tcW w:type="dxa" w:w="3360"/>
            <w:tcMar>
              <w:top w:w="90" w:type="dxa"/>
              <w:bottom w:w="90" w:type="dxa"/>
              <w:start w:w="110" w:type="dxa"/>
              <w:end w:w="110" w:type="dxa"/>
            </w:tcMar>
            <w:vAlign w:val="top"/>
          </w:tcPr>
          <w:p>
            <w:r>
              <w:t>Sponsor onboarding, programmes, beneficiaries, allocations, reporting and case handling</w:t>
            </w:r>
          </w:p>
        </w:tc>
        <w:tc>
          <w:tcPr>
            <w:tcW w:type="dxa" w:w="3360"/>
            <w:tcMar>
              <w:top w:w="90" w:type="dxa"/>
              <w:bottom w:w="90" w:type="dxa"/>
              <w:start w:w="110" w:type="dxa"/>
              <w:end w:w="110" w:type="dxa"/>
            </w:tcMar>
            <w:vAlign w:val="top"/>
          </w:tcPr>
          <w:p>
            <w:r>
              <w:t>At least one sponsor workflow validated.</w:t>
            </w:r>
          </w:p>
        </w:tc>
      </w:tr>
      <w:tr>
        <w:tc>
          <w:tcPr>
            <w:tcW w:type="dxa" w:w="3360"/>
            <w:tcMar>
              <w:top w:w="90" w:type="dxa"/>
              <w:bottom w:w="90" w:type="dxa"/>
              <w:start w:w="110" w:type="dxa"/>
              <w:end w:w="110" w:type="dxa"/>
            </w:tcMar>
            <w:vAlign w:val="top"/>
          </w:tcPr>
          <w:p>
            <w:r>
              <w:t>3 - Stellar Testnet</w:t>
            </w:r>
          </w:p>
        </w:tc>
        <w:tc>
          <w:tcPr>
            <w:tcW w:type="dxa" w:w="3360"/>
            <w:tcMar>
              <w:top w:w="90" w:type="dxa"/>
              <w:bottom w:w="90" w:type="dxa"/>
              <w:start w:w="110" w:type="dxa"/>
              <w:end w:w="110" w:type="dxa"/>
            </w:tcMar>
            <w:vAlign w:val="top"/>
          </w:tcPr>
          <w:p>
            <w:r>
              <w:t>Soroban funding protocol, USDC testnet flow, SDK/docs, SDP integration where appropriate</w:t>
            </w:r>
          </w:p>
        </w:tc>
        <w:tc>
          <w:tcPr>
            <w:tcW w:type="dxa" w:w="3360"/>
            <w:tcMar>
              <w:top w:w="90" w:type="dxa"/>
              <w:bottom w:w="90" w:type="dxa"/>
              <w:start w:w="110" w:type="dxa"/>
              <w:end w:w="110" w:type="dxa"/>
            </w:tcMar>
            <w:vAlign w:val="top"/>
          </w:tcPr>
          <w:p>
            <w:r>
              <w:t>End-to-end testnet funding cycle.</w:t>
            </w:r>
          </w:p>
        </w:tc>
      </w:tr>
      <w:tr>
        <w:tc>
          <w:tcPr>
            <w:tcW w:type="dxa" w:w="3360"/>
            <w:tcMar>
              <w:top w:w="90" w:type="dxa"/>
              <w:bottom w:w="90" w:type="dxa"/>
              <w:start w:w="110" w:type="dxa"/>
              <w:end w:w="110" w:type="dxa"/>
            </w:tcMar>
            <w:vAlign w:val="top"/>
          </w:tcPr>
          <w:p>
            <w:r>
              <w:t>4 - Settlement Pilot</w:t>
            </w:r>
          </w:p>
        </w:tc>
        <w:tc>
          <w:tcPr>
            <w:tcW w:type="dxa" w:w="3360"/>
            <w:tcMar>
              <w:top w:w="90" w:type="dxa"/>
              <w:bottom w:w="90" w:type="dxa"/>
              <w:start w:w="110" w:type="dxa"/>
              <w:end w:w="110" w:type="dxa"/>
            </w:tcMar>
            <w:vAlign w:val="top"/>
          </w:tcPr>
          <w:p>
            <w:r>
              <w:t>Validated on/off-ramp partner, UGX settlement, exception handling and reconciliation</w:t>
            </w:r>
          </w:p>
        </w:tc>
        <w:tc>
          <w:tcPr>
            <w:tcW w:type="dxa" w:w="3360"/>
            <w:tcMar>
              <w:top w:w="90" w:type="dxa"/>
              <w:bottom w:w="90" w:type="dxa"/>
              <w:start w:w="110" w:type="dxa"/>
              <w:end w:w="110" w:type="dxa"/>
            </w:tcMar>
            <w:vAlign w:val="top"/>
          </w:tcPr>
          <w:p>
            <w:r>
              <w:t>Real or controlled pilot proves school receives local fiat.</w:t>
            </w:r>
          </w:p>
        </w:tc>
      </w:tr>
      <w:tr>
        <w:tc>
          <w:tcPr>
            <w:tcW w:type="dxa" w:w="3360"/>
            <w:tcMar>
              <w:top w:w="90" w:type="dxa"/>
              <w:bottom w:w="90" w:type="dxa"/>
              <w:start w:w="110" w:type="dxa"/>
              <w:end w:w="110" w:type="dxa"/>
            </w:tcMar>
            <w:vAlign w:val="top"/>
          </w:tcPr>
          <w:p>
            <w:r>
              <w:t>5 - Mainnet &amp; Scale</w:t>
            </w:r>
          </w:p>
        </w:tc>
        <w:tc>
          <w:tcPr>
            <w:tcW w:type="dxa" w:w="3360"/>
            <w:tcMar>
              <w:top w:w="90" w:type="dxa"/>
              <w:bottom w:w="90" w:type="dxa"/>
              <w:start w:w="110" w:type="dxa"/>
              <w:end w:w="110" w:type="dxa"/>
            </w:tcMar>
            <w:vAlign w:val="top"/>
          </w:tcPr>
          <w:p>
            <w:r>
              <w:t>Audited contracts, mainnet programme, metrics, more schools and partner integrations</w:t>
            </w:r>
          </w:p>
        </w:tc>
        <w:tc>
          <w:tcPr>
            <w:tcW w:type="dxa" w:w="3360"/>
            <w:tcMar>
              <w:top w:w="90" w:type="dxa"/>
              <w:bottom w:w="90" w:type="dxa"/>
              <w:start w:w="110" w:type="dxa"/>
              <w:end w:w="110" w:type="dxa"/>
            </w:tcMar>
            <w:vAlign w:val="top"/>
          </w:tcPr>
          <w:p>
            <w:r>
              <w:t>Repeatable funding and school adoption.</w:t>
            </w:r>
          </w:p>
        </w:tc>
      </w:tr>
    </w:tbl>
    <w:p>
      <w:pPr>
        <w:spacing w:after="20"/>
      </w:pPr>
    </w:p>
    <w:p>
      <w:pPr>
        <w:pStyle w:val="Heading1"/>
      </w:pPr>
      <w:r>
        <w:t>32. Success Metrics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246A73"/>
            <w:tcMar>
              <w:top w:w="90" w:type="dxa"/>
              <w:bottom w:w="90" w:type="dxa"/>
              <w:start w:w="110" w:type="dxa"/>
              <w:end w:w="110" w:type="dxa"/>
            </w:tcMar>
          </w:tcPr>
          <w:p>
            <w:r>
              <w:rPr>
                <w:b/>
                <w:color w:val="FFFFFF"/>
              </w:rPr>
              <w:t>School / business</w:t>
            </w:r>
          </w:p>
        </w:tc>
        <w:tc>
          <w:tcPr>
            <w:tcW w:type="dxa" w:w="3360"/>
            <w:shd w:fill="246A73"/>
            <w:tcMar>
              <w:top w:w="90" w:type="dxa"/>
              <w:bottom w:w="90" w:type="dxa"/>
              <w:start w:w="110" w:type="dxa"/>
              <w:end w:w="110" w:type="dxa"/>
            </w:tcMar>
          </w:tcPr>
          <w:p>
            <w:r>
              <w:rPr>
                <w:b/>
                <w:color w:val="FFFFFF"/>
              </w:rPr>
              <w:t>Sponsor / funding</w:t>
            </w:r>
          </w:p>
        </w:tc>
        <w:tc>
          <w:tcPr>
            <w:tcW w:type="dxa" w:w="3360"/>
            <w:shd w:fill="246A73"/>
            <w:tcMar>
              <w:top w:w="90" w:type="dxa"/>
              <w:bottom w:w="90" w:type="dxa"/>
              <w:start w:w="110" w:type="dxa"/>
              <w:end w:w="110" w:type="dxa"/>
            </w:tcMar>
          </w:tcPr>
          <w:p>
            <w:r>
              <w:rPr>
                <w:b/>
                <w:color w:val="FFFFFF"/>
              </w:rPr>
              <w:t>Stellar / protocol</w:t>
            </w:r>
          </w:p>
        </w:tc>
      </w:tr>
      <w:tr>
        <w:tc>
          <w:tcPr>
            <w:tcW w:type="dxa" w:w="3360"/>
            <w:tcMar>
              <w:top w:w="90" w:type="dxa"/>
              <w:bottom w:w="90" w:type="dxa"/>
              <w:start w:w="110" w:type="dxa"/>
              <w:end w:w="110" w:type="dxa"/>
            </w:tcMar>
            <w:vAlign w:val="top"/>
          </w:tcPr>
          <w:p>
            <w:r>
              <w:t>Active schools</w:t>
            </w:r>
          </w:p>
        </w:tc>
        <w:tc>
          <w:tcPr>
            <w:tcW w:type="dxa" w:w="3360"/>
            <w:tcMar>
              <w:top w:w="90" w:type="dxa"/>
              <w:bottom w:w="90" w:type="dxa"/>
              <w:start w:w="110" w:type="dxa"/>
              <w:end w:w="110" w:type="dxa"/>
            </w:tcMar>
            <w:vAlign w:val="top"/>
          </w:tcPr>
          <w:p>
            <w:r>
              <w:t>Active sponsors/programmes</w:t>
            </w:r>
          </w:p>
        </w:tc>
        <w:tc>
          <w:tcPr>
            <w:tcW w:type="dxa" w:w="3360"/>
            <w:tcMar>
              <w:top w:w="90" w:type="dxa"/>
              <w:bottom w:w="90" w:type="dxa"/>
              <w:start w:w="110" w:type="dxa"/>
              <w:end w:w="110" w:type="dxa"/>
            </w:tcMar>
            <w:vAlign w:val="top"/>
          </w:tcPr>
          <w:p>
            <w:r>
              <w:t>Mainnet programmes</w:t>
            </w:r>
          </w:p>
        </w:tc>
      </w:tr>
      <w:tr>
        <w:tc>
          <w:tcPr>
            <w:tcW w:type="dxa" w:w="3360"/>
            <w:tcMar>
              <w:top w:w="90" w:type="dxa"/>
              <w:bottom w:w="90" w:type="dxa"/>
              <w:start w:w="110" w:type="dxa"/>
              <w:end w:w="110" w:type="dxa"/>
            </w:tcMar>
            <w:vAlign w:val="top"/>
          </w:tcPr>
          <w:p>
            <w:r>
              <w:t>Students with current ledgers</w:t>
            </w:r>
          </w:p>
        </w:tc>
        <w:tc>
          <w:tcPr>
            <w:tcW w:type="dxa" w:w="3360"/>
            <w:tcMar>
              <w:top w:w="90" w:type="dxa"/>
              <w:bottom w:w="90" w:type="dxa"/>
              <w:start w:w="110" w:type="dxa"/>
              <w:end w:w="110" w:type="dxa"/>
            </w:tcMar>
            <w:vAlign w:val="top"/>
          </w:tcPr>
          <w:p>
            <w:r>
              <w:t>Beneficiaries funded</w:t>
            </w:r>
          </w:p>
        </w:tc>
        <w:tc>
          <w:tcPr>
            <w:tcW w:type="dxa" w:w="3360"/>
            <w:tcMar>
              <w:top w:w="90" w:type="dxa"/>
              <w:bottom w:w="90" w:type="dxa"/>
              <w:start w:w="110" w:type="dxa"/>
              <w:end w:w="110" w:type="dxa"/>
            </w:tcMar>
            <w:vAlign w:val="top"/>
          </w:tcPr>
          <w:p>
            <w:r>
              <w:t>USDC committed/disbursed</w:t>
            </w:r>
          </w:p>
        </w:tc>
      </w:tr>
      <w:tr>
        <w:tc>
          <w:tcPr>
            <w:tcW w:type="dxa" w:w="3360"/>
            <w:tcMar>
              <w:top w:w="90" w:type="dxa"/>
              <w:bottom w:w="90" w:type="dxa"/>
              <w:start w:w="110" w:type="dxa"/>
              <w:end w:w="110" w:type="dxa"/>
            </w:tcMar>
            <w:vAlign w:val="top"/>
          </w:tcPr>
          <w:p>
            <w:r>
              <w:t>Payments reconciled</w:t>
            </w:r>
          </w:p>
        </w:tc>
        <w:tc>
          <w:tcPr>
            <w:tcW w:type="dxa" w:w="3360"/>
            <w:tcMar>
              <w:top w:w="90" w:type="dxa"/>
              <w:bottom w:w="90" w:type="dxa"/>
              <w:start w:w="110" w:type="dxa"/>
              <w:end w:w="110" w:type="dxa"/>
            </w:tcMar>
            <w:vAlign w:val="top"/>
          </w:tcPr>
          <w:p>
            <w:r>
              <w:t>Successful school settlements</w:t>
            </w:r>
          </w:p>
        </w:tc>
        <w:tc>
          <w:tcPr>
            <w:tcW w:type="dxa" w:w="3360"/>
            <w:tcMar>
              <w:top w:w="90" w:type="dxa"/>
              <w:bottom w:w="90" w:type="dxa"/>
              <w:start w:w="110" w:type="dxa"/>
              <w:end w:w="110" w:type="dxa"/>
            </w:tcMar>
            <w:vAlign w:val="top"/>
          </w:tcPr>
          <w:p>
            <w:r>
              <w:t>Soroban contract calls</w:t>
            </w:r>
          </w:p>
        </w:tc>
      </w:tr>
      <w:tr>
        <w:tc>
          <w:tcPr>
            <w:tcW w:type="dxa" w:w="3360"/>
            <w:tcMar>
              <w:top w:w="90" w:type="dxa"/>
              <w:bottom w:w="90" w:type="dxa"/>
              <w:start w:w="110" w:type="dxa"/>
              <w:end w:w="110" w:type="dxa"/>
            </w:tcMar>
            <w:vAlign w:val="top"/>
          </w:tcPr>
          <w:p>
            <w:r>
              <w:t>Unmatched-payment resolution time</w:t>
            </w:r>
          </w:p>
        </w:tc>
        <w:tc>
          <w:tcPr>
            <w:tcW w:type="dxa" w:w="3360"/>
            <w:tcMar>
              <w:top w:w="90" w:type="dxa"/>
              <w:bottom w:w="90" w:type="dxa"/>
              <w:start w:w="110" w:type="dxa"/>
              <w:end w:w="110" w:type="dxa"/>
            </w:tcMar>
            <w:vAlign w:val="top"/>
          </w:tcPr>
          <w:p>
            <w:r>
              <w:t>Exception rate and resolution time</w:t>
            </w:r>
          </w:p>
        </w:tc>
        <w:tc>
          <w:tcPr>
            <w:tcW w:type="dxa" w:w="3360"/>
            <w:tcMar>
              <w:top w:w="90" w:type="dxa"/>
              <w:bottom w:w="90" w:type="dxa"/>
              <w:start w:w="110" w:type="dxa"/>
              <w:end w:w="110" w:type="dxa"/>
            </w:tcMar>
            <w:vAlign w:val="top"/>
          </w:tcPr>
          <w:p>
            <w:r>
              <w:t>Repeat term disbursements</w:t>
            </w:r>
          </w:p>
        </w:tc>
      </w:tr>
      <w:tr>
        <w:tc>
          <w:tcPr>
            <w:tcW w:type="dxa" w:w="3360"/>
            <w:tcMar>
              <w:top w:w="90" w:type="dxa"/>
              <w:bottom w:w="90" w:type="dxa"/>
              <w:start w:w="110" w:type="dxa"/>
              <w:end w:w="110" w:type="dxa"/>
            </w:tcMar>
            <w:vAlign w:val="top"/>
          </w:tcPr>
          <w:p>
            <w:r>
              <w:t>Paying schools / retention</w:t>
            </w:r>
          </w:p>
        </w:tc>
        <w:tc>
          <w:tcPr>
            <w:tcW w:type="dxa" w:w="3360"/>
            <w:tcMar>
              <w:top w:w="90" w:type="dxa"/>
              <w:bottom w:w="90" w:type="dxa"/>
              <w:start w:w="110" w:type="dxa"/>
              <w:end w:w="110" w:type="dxa"/>
            </w:tcMar>
            <w:vAlign w:val="top"/>
          </w:tcPr>
          <w:p>
            <w:r>
              <w:t>Sponsor renewal</w:t>
            </w:r>
          </w:p>
        </w:tc>
        <w:tc>
          <w:tcPr>
            <w:tcW w:type="dxa" w:w="3360"/>
            <w:tcMar>
              <w:top w:w="90" w:type="dxa"/>
              <w:bottom w:w="90" w:type="dxa"/>
              <w:start w:w="110" w:type="dxa"/>
              <w:end w:w="110" w:type="dxa"/>
            </w:tcMar>
            <w:vAlign w:val="top"/>
          </w:tcPr>
          <w:p>
            <w:r>
              <w:t>Third-party protocol integrations</w:t>
            </w:r>
          </w:p>
        </w:tc>
      </w:tr>
      <w:tr>
        <w:tc>
          <w:tcPr>
            <w:tcW w:type="dxa" w:w="3360"/>
            <w:tcMar>
              <w:top w:w="90" w:type="dxa"/>
              <w:bottom w:w="90" w:type="dxa"/>
              <w:start w:w="110" w:type="dxa"/>
              <w:end w:w="110" w:type="dxa"/>
            </w:tcMar>
            <w:vAlign w:val="top"/>
          </w:tcPr>
          <w:p>
            <w:r>
              <w:t>Parent receipt/balance usage</w:t>
            </w:r>
          </w:p>
        </w:tc>
        <w:tc>
          <w:tcPr>
            <w:tcW w:type="dxa" w:w="3360"/>
            <w:tcMar>
              <w:top w:w="90" w:type="dxa"/>
              <w:bottom w:w="90" w:type="dxa"/>
              <w:start w:w="110" w:type="dxa"/>
              <w:end w:w="110" w:type="dxa"/>
            </w:tcMar>
            <w:vAlign w:val="top"/>
          </w:tcPr>
          <w:p>
            <w:r>
              <w:t>Net education value delivered</w:t>
            </w:r>
          </w:p>
        </w:tc>
        <w:tc>
          <w:tcPr>
            <w:tcW w:type="dxa" w:w="3360"/>
            <w:tcMar>
              <w:top w:w="90" w:type="dxa"/>
              <w:bottom w:w="90" w:type="dxa"/>
              <w:start w:w="110" w:type="dxa"/>
              <w:end w:w="110" w:type="dxa"/>
            </w:tcMar>
            <w:vAlign w:val="top"/>
          </w:tcPr>
          <w:p>
            <w:r>
              <w:t>Protocol uptime / failure rate</w:t>
            </w:r>
          </w:p>
        </w:tc>
      </w:tr>
    </w:tbl>
    <w:p>
      <w:pPr>
        <w:spacing w:after="20"/>
      </w:pPr>
    </w:p>
    <w:p>
      <w:pPr>
        <w:pStyle w:val="Heading1"/>
      </w:pPr>
      <w:r>
        <w:t>33. Major Risks and Mitigations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246A73"/>
            <w:tcMar>
              <w:top w:w="90" w:type="dxa"/>
              <w:bottom w:w="90" w:type="dxa"/>
              <w:start w:w="110" w:type="dxa"/>
              <w:end w:w="110" w:type="dxa"/>
            </w:tcMar>
          </w:tcPr>
          <w:p>
            <w:r>
              <w:rPr>
                <w:b/>
                <w:color w:val="FFFFFF"/>
              </w:rPr>
              <w:t>Risk</w:t>
            </w:r>
          </w:p>
        </w:tc>
        <w:tc>
          <w:tcPr>
            <w:tcW w:type="dxa" w:w="3360"/>
            <w:shd w:fill="246A73"/>
            <w:tcMar>
              <w:top w:w="90" w:type="dxa"/>
              <w:bottom w:w="90" w:type="dxa"/>
              <w:start w:w="110" w:type="dxa"/>
              <w:end w:w="110" w:type="dxa"/>
            </w:tcMar>
          </w:tcPr>
          <w:p>
            <w:r>
              <w:rPr>
                <w:b/>
                <w:color w:val="FFFFFF"/>
              </w:rPr>
              <w:t>Why it matters</w:t>
            </w:r>
          </w:p>
        </w:tc>
        <w:tc>
          <w:tcPr>
            <w:tcW w:type="dxa" w:w="3360"/>
            <w:shd w:fill="246A73"/>
            <w:tcMar>
              <w:top w:w="90" w:type="dxa"/>
              <w:bottom w:w="90" w:type="dxa"/>
              <w:start w:w="110" w:type="dxa"/>
              <w:end w:w="110" w:type="dxa"/>
            </w:tcMar>
          </w:tcPr>
          <w:p>
            <w:r>
              <w:rPr>
                <w:b/>
                <w:color w:val="FFFFFF"/>
              </w:rPr>
              <w:t>Mitigation</w:t>
            </w:r>
          </w:p>
        </w:tc>
      </w:tr>
      <w:tr>
        <w:tc>
          <w:tcPr>
            <w:tcW w:type="dxa" w:w="3360"/>
            <w:tcMar>
              <w:top w:w="90" w:type="dxa"/>
              <w:bottom w:w="90" w:type="dxa"/>
              <w:start w:w="110" w:type="dxa"/>
              <w:end w:w="110" w:type="dxa"/>
            </w:tcMar>
            <w:vAlign w:val="top"/>
          </w:tcPr>
          <w:p>
            <w:r>
              <w:t>Schools already use existing systems</w:t>
            </w:r>
          </w:p>
        </w:tc>
        <w:tc>
          <w:tcPr>
            <w:tcW w:type="dxa" w:w="3360"/>
            <w:tcMar>
              <w:top w:w="90" w:type="dxa"/>
              <w:bottom w:w="90" w:type="dxa"/>
              <w:start w:w="110" w:type="dxa"/>
              <w:end w:w="110" w:type="dxa"/>
            </w:tcMar>
            <w:vAlign w:val="top"/>
          </w:tcPr>
          <w:p>
            <w:r>
              <w:t>Switching cost can block adoption</w:t>
            </w:r>
          </w:p>
        </w:tc>
        <w:tc>
          <w:tcPr>
            <w:tcW w:type="dxa" w:w="3360"/>
            <w:tcMar>
              <w:top w:w="90" w:type="dxa"/>
              <w:bottom w:w="90" w:type="dxa"/>
              <w:start w:w="110" w:type="dxa"/>
              <w:end w:w="110" w:type="dxa"/>
            </w:tcMar>
            <w:vAlign w:val="top"/>
          </w:tcPr>
          <w:p>
            <w:r>
              <w:t>Integrate/import first; win on reconciliation and unified learner finance.</w:t>
            </w:r>
          </w:p>
        </w:tc>
      </w:tr>
      <w:tr>
        <w:tc>
          <w:tcPr>
            <w:tcW w:type="dxa" w:w="3360"/>
            <w:tcMar>
              <w:top w:w="90" w:type="dxa"/>
              <w:bottom w:w="90" w:type="dxa"/>
              <w:start w:w="110" w:type="dxa"/>
              <w:end w:w="110" w:type="dxa"/>
            </w:tcMar>
            <w:vAlign w:val="top"/>
          </w:tcPr>
          <w:p>
            <w:r>
              <w:t>No workable UGX ↔ USDC institutional rail</w:t>
            </w:r>
          </w:p>
        </w:tc>
        <w:tc>
          <w:tcPr>
            <w:tcW w:type="dxa" w:w="3360"/>
            <w:tcMar>
              <w:top w:w="90" w:type="dxa"/>
              <w:bottom w:w="90" w:type="dxa"/>
              <w:start w:w="110" w:type="dxa"/>
              <w:end w:w="110" w:type="dxa"/>
            </w:tcMar>
            <w:vAlign w:val="top"/>
          </w:tcPr>
          <w:p>
            <w:r>
              <w:t>Breaks the Stellar-to-school last mile</w:t>
            </w:r>
          </w:p>
        </w:tc>
        <w:tc>
          <w:tcPr>
            <w:tcW w:type="dxa" w:w="3360"/>
            <w:tcMar>
              <w:top w:w="90" w:type="dxa"/>
              <w:bottom w:w="90" w:type="dxa"/>
              <w:start w:w="110" w:type="dxa"/>
              <w:end w:w="110" w:type="dxa"/>
            </w:tcMar>
            <w:vAlign w:val="top"/>
          </w:tcPr>
          <w:p>
            <w:r>
              <w:t>Validate a real partner before promising production settlement.</w:t>
            </w:r>
          </w:p>
        </w:tc>
      </w:tr>
      <w:tr>
        <w:tc>
          <w:tcPr>
            <w:tcW w:type="dxa" w:w="3360"/>
            <w:tcMar>
              <w:top w:w="90" w:type="dxa"/>
              <w:bottom w:w="90" w:type="dxa"/>
              <w:start w:w="110" w:type="dxa"/>
              <w:end w:w="110" w:type="dxa"/>
            </w:tcMar>
            <w:vAlign w:val="top"/>
          </w:tcPr>
          <w:p>
            <w:r>
              <w:t>Sponsor demand is assumed</w:t>
            </w:r>
          </w:p>
        </w:tc>
        <w:tc>
          <w:tcPr>
            <w:tcW w:type="dxa" w:w="3360"/>
            <w:tcMar>
              <w:top w:w="90" w:type="dxa"/>
              <w:bottom w:w="90" w:type="dxa"/>
              <w:start w:w="110" w:type="dxa"/>
              <w:end w:w="110" w:type="dxa"/>
            </w:tcMar>
            <w:vAlign w:val="top"/>
          </w:tcPr>
          <w:p>
            <w:r>
              <w:t>No funding volume means weak network effect</w:t>
            </w:r>
          </w:p>
        </w:tc>
        <w:tc>
          <w:tcPr>
            <w:tcW w:type="dxa" w:w="3360"/>
            <w:tcMar>
              <w:top w:w="90" w:type="dxa"/>
              <w:bottom w:w="90" w:type="dxa"/>
              <w:start w:w="110" w:type="dxa"/>
              <w:end w:w="110" w:type="dxa"/>
            </w:tcMar>
            <w:vAlign w:val="top"/>
          </w:tcPr>
          <w:p>
            <w:r>
              <w:t>Secure sponsor interviews/LOI/pilot before scale.</w:t>
            </w:r>
          </w:p>
        </w:tc>
      </w:tr>
      <w:tr>
        <w:tc>
          <w:tcPr>
            <w:tcW w:type="dxa" w:w="3360"/>
            <w:tcMar>
              <w:top w:w="90" w:type="dxa"/>
              <w:bottom w:w="90" w:type="dxa"/>
              <w:start w:w="110" w:type="dxa"/>
              <w:end w:w="110" w:type="dxa"/>
            </w:tcMar>
            <w:vAlign w:val="top"/>
          </w:tcPr>
          <w:p>
            <w:r>
              <w:t>Overbuilding</w:t>
            </w:r>
          </w:p>
        </w:tc>
        <w:tc>
          <w:tcPr>
            <w:tcW w:type="dxa" w:w="3360"/>
            <w:tcMar>
              <w:top w:w="90" w:type="dxa"/>
              <w:bottom w:w="90" w:type="dxa"/>
              <w:start w:w="110" w:type="dxa"/>
              <w:end w:w="110" w:type="dxa"/>
            </w:tcMar>
            <w:vAlign w:val="top"/>
          </w:tcPr>
          <w:p>
            <w:r>
              <w:t>Too many modules delay proof</w:t>
            </w:r>
          </w:p>
        </w:tc>
        <w:tc>
          <w:tcPr>
            <w:tcW w:type="dxa" w:w="3360"/>
            <w:tcMar>
              <w:top w:w="90" w:type="dxa"/>
              <w:bottom w:w="90" w:type="dxa"/>
              <w:start w:w="110" w:type="dxa"/>
              <w:end w:w="110" w:type="dxa"/>
            </w:tcMar>
            <w:vAlign w:val="top"/>
          </w:tcPr>
          <w:p>
            <w:r>
              <w:t>Keep V1 finance-first; defer full ERP features.</w:t>
            </w:r>
          </w:p>
        </w:tc>
      </w:tr>
      <w:tr>
        <w:tc>
          <w:tcPr>
            <w:tcW w:type="dxa" w:w="3360"/>
            <w:tcMar>
              <w:top w:w="90" w:type="dxa"/>
              <w:bottom w:w="90" w:type="dxa"/>
              <w:start w:w="110" w:type="dxa"/>
              <w:end w:w="110" w:type="dxa"/>
            </w:tcMar>
            <w:vAlign w:val="top"/>
          </w:tcPr>
          <w:p>
            <w:r>
              <w:t>Child-data breach</w:t>
            </w:r>
          </w:p>
        </w:tc>
        <w:tc>
          <w:tcPr>
            <w:tcW w:type="dxa" w:w="3360"/>
            <w:tcMar>
              <w:top w:w="90" w:type="dxa"/>
              <w:bottom w:w="90" w:type="dxa"/>
              <w:start w:w="110" w:type="dxa"/>
              <w:end w:w="110" w:type="dxa"/>
            </w:tcMar>
            <w:vAlign w:val="top"/>
          </w:tcPr>
          <w:p>
            <w:r>
              <w:t>High ethical and legal harm</w:t>
            </w:r>
          </w:p>
        </w:tc>
        <w:tc>
          <w:tcPr>
            <w:tcW w:type="dxa" w:w="3360"/>
            <w:tcMar>
              <w:top w:w="90" w:type="dxa"/>
              <w:bottom w:w="90" w:type="dxa"/>
              <w:start w:w="110" w:type="dxa"/>
              <w:end w:w="110" w:type="dxa"/>
            </w:tcMar>
            <w:vAlign w:val="top"/>
          </w:tcPr>
          <w:p>
            <w:r>
              <w:t>Privacy-by-design, tenant isolation, MFA, encryption, audits and minimisation.</w:t>
            </w:r>
          </w:p>
        </w:tc>
      </w:tr>
      <w:tr>
        <w:tc>
          <w:tcPr>
            <w:tcW w:type="dxa" w:w="3360"/>
            <w:tcMar>
              <w:top w:w="90" w:type="dxa"/>
              <w:bottom w:w="90" w:type="dxa"/>
              <w:start w:w="110" w:type="dxa"/>
              <w:end w:w="110" w:type="dxa"/>
            </w:tcMar>
            <w:vAlign w:val="top"/>
          </w:tcPr>
          <w:p>
            <w:r>
              <w:t>AI error</w:t>
            </w:r>
          </w:p>
        </w:tc>
        <w:tc>
          <w:tcPr>
            <w:tcW w:type="dxa" w:w="3360"/>
            <w:tcMar>
              <w:top w:w="90" w:type="dxa"/>
              <w:bottom w:w="90" w:type="dxa"/>
              <w:start w:w="110" w:type="dxa"/>
              <w:end w:w="110" w:type="dxa"/>
            </w:tcMar>
            <w:vAlign w:val="top"/>
          </w:tcPr>
          <w:p>
            <w:r>
              <w:t>Wrong financial explanation or false accusation</w:t>
            </w:r>
          </w:p>
        </w:tc>
        <w:tc>
          <w:tcPr>
            <w:tcW w:type="dxa" w:w="3360"/>
            <w:tcMar>
              <w:top w:w="90" w:type="dxa"/>
              <w:bottom w:w="90" w:type="dxa"/>
              <w:start w:w="110" w:type="dxa"/>
              <w:end w:w="110" w:type="dxa"/>
            </w:tcMar>
            <w:vAlign w:val="top"/>
          </w:tcPr>
          <w:p>
            <w:r>
              <w:t>Ground AI in services, human review, no autonomous financial authority.</w:t>
            </w:r>
          </w:p>
        </w:tc>
      </w:tr>
      <w:tr>
        <w:tc>
          <w:tcPr>
            <w:tcW w:type="dxa" w:w="3360"/>
            <w:tcMar>
              <w:top w:w="90" w:type="dxa"/>
              <w:bottom w:w="90" w:type="dxa"/>
              <w:start w:w="110" w:type="dxa"/>
              <w:end w:w="110" w:type="dxa"/>
            </w:tcMar>
            <w:vAlign w:val="top"/>
          </w:tcPr>
          <w:p>
            <w:r>
              <w:t>Smart-contract bug</w:t>
            </w:r>
          </w:p>
        </w:tc>
        <w:tc>
          <w:tcPr>
            <w:tcW w:type="dxa" w:w="3360"/>
            <w:tcMar>
              <w:top w:w="90" w:type="dxa"/>
              <w:bottom w:w="90" w:type="dxa"/>
              <w:start w:w="110" w:type="dxa"/>
              <w:end w:w="110" w:type="dxa"/>
            </w:tcMar>
            <w:vAlign w:val="top"/>
          </w:tcPr>
          <w:p>
            <w:r>
              <w:t>Programme funds at risk</w:t>
            </w:r>
          </w:p>
        </w:tc>
        <w:tc>
          <w:tcPr>
            <w:tcW w:type="dxa" w:w="3360"/>
            <w:tcMar>
              <w:top w:w="90" w:type="dxa"/>
              <w:bottom w:w="90" w:type="dxa"/>
              <w:start w:w="110" w:type="dxa"/>
              <w:end w:w="110" w:type="dxa"/>
            </w:tcMar>
            <w:vAlign w:val="top"/>
          </w:tcPr>
          <w:p>
            <w:r>
              <w:t>Minimal contracts, tests, caps/pause controls and independent audit.</w:t>
            </w:r>
          </w:p>
        </w:tc>
      </w:tr>
      <w:tr>
        <w:tc>
          <w:tcPr>
            <w:tcW w:type="dxa" w:w="3360"/>
            <w:tcMar>
              <w:top w:w="90" w:type="dxa"/>
              <w:bottom w:w="90" w:type="dxa"/>
              <w:start w:w="110" w:type="dxa"/>
              <w:end w:w="110" w:type="dxa"/>
            </w:tcMar>
            <w:vAlign w:val="top"/>
          </w:tcPr>
          <w:p>
            <w:r>
              <w:t>Provider outage</w:t>
            </w:r>
          </w:p>
        </w:tc>
        <w:tc>
          <w:tcPr>
            <w:tcW w:type="dxa" w:w="3360"/>
            <w:tcMar>
              <w:top w:w="90" w:type="dxa"/>
              <w:bottom w:w="90" w:type="dxa"/>
              <w:start w:w="110" w:type="dxa"/>
              <w:end w:w="110" w:type="dxa"/>
            </w:tcMar>
            <w:vAlign w:val="top"/>
          </w:tcPr>
          <w:p>
            <w:r>
              <w:t>Payments/notifications delayed</w:t>
            </w:r>
          </w:p>
        </w:tc>
        <w:tc>
          <w:tcPr>
            <w:tcW w:type="dxa" w:w="3360"/>
            <w:tcMar>
              <w:top w:w="90" w:type="dxa"/>
              <w:bottom w:w="90" w:type="dxa"/>
              <w:start w:w="110" w:type="dxa"/>
              <w:end w:w="110" w:type="dxa"/>
            </w:tcMar>
            <w:vAlign w:val="top"/>
          </w:tcPr>
          <w:p>
            <w:r>
              <w:t>Queues, retries, status state machines and replaceable adapters.</w:t>
            </w:r>
          </w:p>
        </w:tc>
      </w:tr>
      <w:tr>
        <w:tc>
          <w:tcPr>
            <w:tcW w:type="dxa" w:w="3360"/>
            <w:tcMar>
              <w:top w:w="90" w:type="dxa"/>
              <w:bottom w:w="90" w:type="dxa"/>
              <w:start w:w="110" w:type="dxa"/>
              <w:end w:w="110" w:type="dxa"/>
            </w:tcMar>
            <w:vAlign w:val="top"/>
          </w:tcPr>
          <w:p>
            <w:r>
              <w:t>Regulatory misunderstanding</w:t>
            </w:r>
          </w:p>
        </w:tc>
        <w:tc>
          <w:tcPr>
            <w:tcW w:type="dxa" w:w="3360"/>
            <w:tcMar>
              <w:top w:w="90" w:type="dxa"/>
              <w:bottom w:w="90" w:type="dxa"/>
              <w:start w:w="110" w:type="dxa"/>
              <w:end w:w="110" w:type="dxa"/>
            </w:tcMar>
            <w:vAlign w:val="top"/>
          </w:tcPr>
          <w:p>
            <w:r>
              <w:t>Operational/legal exposure</w:t>
            </w:r>
          </w:p>
        </w:tc>
        <w:tc>
          <w:tcPr>
            <w:tcW w:type="dxa" w:w="3360"/>
            <w:tcMar>
              <w:top w:w="90" w:type="dxa"/>
              <w:bottom w:w="90" w:type="dxa"/>
              <w:start w:w="110" w:type="dxa"/>
              <w:end w:w="110" w:type="dxa"/>
            </w:tcMar>
            <w:vAlign w:val="top"/>
          </w:tcPr>
          <w:p>
            <w:r>
              <w:t>Use appropriate licensed partners and obtain local legal/compliance advice before production financial flows.</w:t>
            </w:r>
          </w:p>
        </w:tc>
      </w:tr>
    </w:tbl>
    <w:p>
      <w:pPr>
        <w:spacing w:after="20"/>
      </w:pPr>
    </w:p>
    <w:p>
      <w:pPr>
        <w:pStyle w:val="Heading1"/>
      </w:pPr>
      <w:r>
        <w:t>34. SCF / Stellar Product Positioning</w:t>
      </w:r>
    </w:p>
    <w:p>
      <w:r>
        <w:t>The strongest SCF-facing deliverable is not the whole school ERP. HarambeeOne School is the distribution and reference implementation. The ecosystem contribution is an open-source Education Funding Protocol on Soroban with a documented SDK and sample integration.</w:t>
      </w:r>
    </w:p>
    <w:p>
      <w:r>
        <w:t>The protocol should answer questions that a generic disbursement tool does not: who is entitled to education funding, under which programme, at which institution, when can value be released, which approvals are required, what happens when eligibility changes, and how unused programme value is handled.</w:t>
      </w:r>
    </w:p>
    <w:tbl>
      <w:tblPr>
        <w:tblW w:type="auto" w:w="0"/>
        <w:jc w:val="center"/>
        <w:tblLook w:firstColumn="1" w:firstRow="1" w:lastColumn="0" w:lastRow="0" w:noHBand="0" w:noVBand="1" w:val="04A0"/>
      </w:tblPr>
      <w:tblGrid>
        <w:gridCol w:w="10080"/>
      </w:tblGrid>
      <w:tr>
        <w:tc>
          <w:tcPr>
            <w:tcW w:type="dxa" w:w="10080"/>
            <w:shd w:fill="E9F3F2"/>
            <w:tcMar>
              <w:top w:w="120" w:type="dxa"/>
              <w:bottom w:w="120" w:type="dxa"/>
              <w:start w:w="160" w:type="dxa"/>
              <w:end w:w="160" w:type="dxa"/>
            </w:tcMar>
          </w:tcPr>
          <w:p>
            <w:r>
              <w:rPr>
                <w:b/>
                <w:color w:val="173F46"/>
              </w:rPr>
              <w:t>SCF narrative</w:t>
              <w:br/>
            </w:r>
            <w:r>
              <w:t>HarambeeOne proves the protocol with real education workflows. Stellar is used for programmable value and settlement, while normal school operations remain simple and familiar.</w:t>
            </w:r>
          </w:p>
        </w:tc>
      </w:tr>
    </w:tbl>
    <w:p>
      <w:pPr>
        <w:spacing w:after="0"/>
      </w:pPr>
    </w:p>
    <w:p>
      <w:pPr>
        <w:pStyle w:val="Heading1"/>
      </w:pPr>
      <w:r>
        <w:t>35. Open-Source Protocol Surface</w:t>
      </w:r>
    </w:p>
    <w:tbl>
      <w:tblPr>
        <w:tblStyle w:val="TableGrid"/>
        <w:tblW w:type="auto" w:w="0"/>
        <w:jc w:val="center"/>
        <w:tblLook w:firstColumn="1" w:firstRow="1" w:lastColumn="0" w:lastRow="0" w:noHBand="0" w:noVBand="1" w:val="04A0"/>
      </w:tblPr>
      <w:tblGrid>
        <w:gridCol w:w="5040"/>
        <w:gridCol w:w="5040"/>
      </w:tblGrid>
      <w:tr>
        <w:tc>
          <w:tcPr>
            <w:tcW w:type="dxa" w:w="5040"/>
            <w:shd w:fill="246A73"/>
            <w:tcMar>
              <w:top w:w="90" w:type="dxa"/>
              <w:bottom w:w="90" w:type="dxa"/>
              <w:start w:w="110" w:type="dxa"/>
              <w:end w:w="110" w:type="dxa"/>
            </w:tcMar>
          </w:tcPr>
          <w:p>
            <w:r>
              <w:rPr>
                <w:b/>
                <w:color w:val="FFFFFF"/>
              </w:rPr>
              <w:t>Function</w:t>
            </w:r>
          </w:p>
        </w:tc>
        <w:tc>
          <w:tcPr>
            <w:tcW w:type="dxa" w:w="5040"/>
            <w:shd w:fill="246A73"/>
            <w:tcMar>
              <w:top w:w="90" w:type="dxa"/>
              <w:bottom w:w="90" w:type="dxa"/>
              <w:start w:w="110" w:type="dxa"/>
              <w:end w:w="110" w:type="dxa"/>
            </w:tcMar>
          </w:tcPr>
          <w:p>
            <w:r>
              <w:rPr>
                <w:b/>
                <w:color w:val="FFFFFF"/>
              </w:rPr>
              <w:t>Purpose</w:t>
            </w:r>
          </w:p>
        </w:tc>
      </w:tr>
      <w:tr>
        <w:tc>
          <w:tcPr>
            <w:tcW w:type="dxa" w:w="5040"/>
            <w:tcMar>
              <w:top w:w="90" w:type="dxa"/>
              <w:bottom w:w="90" w:type="dxa"/>
              <w:start w:w="110" w:type="dxa"/>
              <w:end w:w="110" w:type="dxa"/>
            </w:tcMar>
            <w:vAlign w:val="top"/>
          </w:tcPr>
          <w:p>
            <w:r>
              <w:t>create_program()</w:t>
            </w:r>
          </w:p>
        </w:tc>
        <w:tc>
          <w:tcPr>
            <w:tcW w:type="dxa" w:w="5040"/>
            <w:tcMar>
              <w:top w:w="90" w:type="dxa"/>
              <w:bottom w:w="90" w:type="dxa"/>
              <w:start w:w="110" w:type="dxa"/>
              <w:end w:w="110" w:type="dxa"/>
            </w:tcMar>
            <w:vAlign w:val="top"/>
          </w:tcPr>
          <w:p>
            <w:r>
              <w:t>Create programme rules and treasury context.</w:t>
            </w:r>
          </w:p>
        </w:tc>
      </w:tr>
      <w:tr>
        <w:tc>
          <w:tcPr>
            <w:tcW w:type="dxa" w:w="5040"/>
            <w:tcMar>
              <w:top w:w="90" w:type="dxa"/>
              <w:bottom w:w="90" w:type="dxa"/>
              <w:start w:w="110" w:type="dxa"/>
              <w:end w:w="110" w:type="dxa"/>
            </w:tcMar>
            <w:vAlign w:val="top"/>
          </w:tcPr>
          <w:p>
            <w:r>
              <w:t>register_institution()</w:t>
            </w:r>
          </w:p>
        </w:tc>
        <w:tc>
          <w:tcPr>
            <w:tcW w:type="dxa" w:w="5040"/>
            <w:tcMar>
              <w:top w:w="90" w:type="dxa"/>
              <w:bottom w:w="90" w:type="dxa"/>
              <w:start w:w="110" w:type="dxa"/>
              <w:end w:w="110" w:type="dxa"/>
            </w:tcMar>
            <w:vAlign w:val="top"/>
          </w:tcPr>
          <w:p>
            <w:r>
              <w:t>Authorise a participating institution reference.</w:t>
            </w:r>
          </w:p>
        </w:tc>
      </w:tr>
      <w:tr>
        <w:tc>
          <w:tcPr>
            <w:tcW w:type="dxa" w:w="5040"/>
            <w:tcMar>
              <w:top w:w="90" w:type="dxa"/>
              <w:bottom w:w="90" w:type="dxa"/>
              <w:start w:w="110" w:type="dxa"/>
              <w:end w:w="110" w:type="dxa"/>
            </w:tcMar>
            <w:vAlign w:val="top"/>
          </w:tcPr>
          <w:p>
            <w:r>
              <w:t>add_beneficiary()</w:t>
            </w:r>
          </w:p>
        </w:tc>
        <w:tc>
          <w:tcPr>
            <w:tcW w:type="dxa" w:w="5040"/>
            <w:tcMar>
              <w:top w:w="90" w:type="dxa"/>
              <w:bottom w:w="90" w:type="dxa"/>
              <w:start w:w="110" w:type="dxa"/>
              <w:end w:w="110" w:type="dxa"/>
            </w:tcMar>
            <w:vAlign w:val="top"/>
          </w:tcPr>
          <w:p>
            <w:r>
              <w:t>Register a pseudonymous programme beneficiary.</w:t>
            </w:r>
          </w:p>
        </w:tc>
      </w:tr>
      <w:tr>
        <w:tc>
          <w:tcPr>
            <w:tcW w:type="dxa" w:w="5040"/>
            <w:tcMar>
              <w:top w:w="90" w:type="dxa"/>
              <w:bottom w:w="90" w:type="dxa"/>
              <w:start w:w="110" w:type="dxa"/>
              <w:end w:w="110" w:type="dxa"/>
            </w:tcMar>
            <w:vAlign w:val="top"/>
          </w:tcPr>
          <w:p>
            <w:r>
              <w:t>allocate_funding()</w:t>
            </w:r>
          </w:p>
        </w:tc>
        <w:tc>
          <w:tcPr>
            <w:tcW w:type="dxa" w:w="5040"/>
            <w:tcMar>
              <w:top w:w="90" w:type="dxa"/>
              <w:bottom w:w="90" w:type="dxa"/>
              <w:start w:w="110" w:type="dxa"/>
              <w:end w:w="110" w:type="dxa"/>
            </w:tcMar>
            <w:vAlign w:val="top"/>
          </w:tcPr>
          <w:p>
            <w:r>
              <w:t>Assign a beneficiary entitlement.</w:t>
            </w:r>
          </w:p>
        </w:tc>
      </w:tr>
      <w:tr>
        <w:tc>
          <w:tcPr>
            <w:tcW w:type="dxa" w:w="5040"/>
            <w:tcMar>
              <w:top w:w="90" w:type="dxa"/>
              <w:bottom w:w="90" w:type="dxa"/>
              <w:start w:w="110" w:type="dxa"/>
              <w:end w:w="110" w:type="dxa"/>
            </w:tcMar>
            <w:vAlign w:val="top"/>
          </w:tcPr>
          <w:p>
            <w:r>
              <w:t>confirm_eligibility()</w:t>
            </w:r>
          </w:p>
        </w:tc>
        <w:tc>
          <w:tcPr>
            <w:tcW w:type="dxa" w:w="5040"/>
            <w:tcMar>
              <w:top w:w="90" w:type="dxa"/>
              <w:bottom w:w="90" w:type="dxa"/>
              <w:start w:w="110" w:type="dxa"/>
              <w:end w:w="110" w:type="dxa"/>
            </w:tcMar>
            <w:vAlign w:val="top"/>
          </w:tcPr>
          <w:p>
            <w:r>
              <w:t>Record required eligibility/enrollment evidence reference.</w:t>
            </w:r>
          </w:p>
        </w:tc>
      </w:tr>
      <w:tr>
        <w:tc>
          <w:tcPr>
            <w:tcW w:type="dxa" w:w="5040"/>
            <w:tcMar>
              <w:top w:w="90" w:type="dxa"/>
              <w:bottom w:w="90" w:type="dxa"/>
              <w:start w:w="110" w:type="dxa"/>
              <w:end w:w="110" w:type="dxa"/>
            </w:tcMar>
            <w:vAlign w:val="top"/>
          </w:tcPr>
          <w:p>
            <w:r>
              <w:t>authorize_release()</w:t>
            </w:r>
          </w:p>
        </w:tc>
        <w:tc>
          <w:tcPr>
            <w:tcW w:type="dxa" w:w="5040"/>
            <w:tcMar>
              <w:top w:w="90" w:type="dxa"/>
              <w:bottom w:w="90" w:type="dxa"/>
              <w:start w:w="110" w:type="dxa"/>
              <w:end w:w="110" w:type="dxa"/>
            </w:tcMar>
            <w:vAlign w:val="top"/>
          </w:tcPr>
          <w:p>
            <w:r>
              <w:t>Permit a scheduled/milestone release.</w:t>
            </w:r>
          </w:p>
        </w:tc>
      </w:tr>
      <w:tr>
        <w:tc>
          <w:tcPr>
            <w:tcW w:type="dxa" w:w="5040"/>
            <w:tcMar>
              <w:top w:w="90" w:type="dxa"/>
              <w:bottom w:w="90" w:type="dxa"/>
              <w:start w:w="110" w:type="dxa"/>
              <w:end w:w="110" w:type="dxa"/>
            </w:tcMar>
            <w:vAlign w:val="top"/>
          </w:tcPr>
          <w:p>
            <w:r>
              <w:t>suspend_beneficiary()</w:t>
            </w:r>
          </w:p>
        </w:tc>
        <w:tc>
          <w:tcPr>
            <w:tcW w:type="dxa" w:w="5040"/>
            <w:tcMar>
              <w:top w:w="90" w:type="dxa"/>
              <w:bottom w:w="90" w:type="dxa"/>
              <w:start w:w="110" w:type="dxa"/>
              <w:end w:w="110" w:type="dxa"/>
            </w:tcMar>
            <w:vAlign w:val="top"/>
          </w:tcPr>
          <w:p>
            <w:r>
              <w:t>Stop future releases without deleting history.</w:t>
            </w:r>
          </w:p>
        </w:tc>
      </w:tr>
      <w:tr>
        <w:tc>
          <w:tcPr>
            <w:tcW w:type="dxa" w:w="5040"/>
            <w:tcMar>
              <w:top w:w="90" w:type="dxa"/>
              <w:bottom w:w="90" w:type="dxa"/>
              <w:start w:w="110" w:type="dxa"/>
              <w:end w:w="110" w:type="dxa"/>
            </w:tcMar>
            <w:vAlign w:val="top"/>
          </w:tcPr>
          <w:p>
            <w:r>
              <w:t>transfer_beneficiary()</w:t>
            </w:r>
          </w:p>
        </w:tc>
        <w:tc>
          <w:tcPr>
            <w:tcW w:type="dxa" w:w="5040"/>
            <w:tcMar>
              <w:top w:w="90" w:type="dxa"/>
              <w:bottom w:w="90" w:type="dxa"/>
              <w:start w:w="110" w:type="dxa"/>
              <w:end w:w="110" w:type="dxa"/>
            </w:tcMar>
            <w:vAlign w:val="top"/>
          </w:tcPr>
          <w:p>
            <w:r>
              <w:t>Move future entitlement under allowed programme rules.</w:t>
            </w:r>
          </w:p>
        </w:tc>
      </w:tr>
      <w:tr>
        <w:tc>
          <w:tcPr>
            <w:tcW w:type="dxa" w:w="5040"/>
            <w:tcMar>
              <w:top w:w="90" w:type="dxa"/>
              <w:bottom w:w="90" w:type="dxa"/>
              <w:start w:w="110" w:type="dxa"/>
              <w:end w:w="110" w:type="dxa"/>
            </w:tcMar>
            <w:vAlign w:val="top"/>
          </w:tcPr>
          <w:p>
            <w:r>
              <w:t>return_unused_funds()</w:t>
            </w:r>
          </w:p>
        </w:tc>
        <w:tc>
          <w:tcPr>
            <w:tcW w:type="dxa" w:w="5040"/>
            <w:tcMar>
              <w:top w:w="90" w:type="dxa"/>
              <w:bottom w:w="90" w:type="dxa"/>
              <w:start w:w="110" w:type="dxa"/>
              <w:end w:w="110" w:type="dxa"/>
            </w:tcMar>
            <w:vAlign w:val="top"/>
          </w:tcPr>
          <w:p>
            <w:r>
              <w:t>Return/recycle unused programme value.</w:t>
            </w:r>
          </w:p>
        </w:tc>
      </w:tr>
      <w:tr>
        <w:tc>
          <w:tcPr>
            <w:tcW w:type="dxa" w:w="5040"/>
            <w:tcMar>
              <w:top w:w="90" w:type="dxa"/>
              <w:bottom w:w="90" w:type="dxa"/>
              <w:start w:w="110" w:type="dxa"/>
              <w:end w:w="110" w:type="dxa"/>
            </w:tcMar>
            <w:vAlign w:val="top"/>
          </w:tcPr>
          <w:p>
            <w:r>
              <w:t>close_program()</w:t>
            </w:r>
          </w:p>
        </w:tc>
        <w:tc>
          <w:tcPr>
            <w:tcW w:type="dxa" w:w="5040"/>
            <w:tcMar>
              <w:top w:w="90" w:type="dxa"/>
              <w:bottom w:w="90" w:type="dxa"/>
              <w:start w:w="110" w:type="dxa"/>
              <w:end w:w="110" w:type="dxa"/>
            </w:tcMar>
            <w:vAlign w:val="top"/>
          </w:tcPr>
          <w:p>
            <w:r>
              <w:t>Close programme and finalise remaining state.</w:t>
            </w:r>
          </w:p>
        </w:tc>
      </w:tr>
    </w:tbl>
    <w:p>
      <w:pPr>
        <w:spacing w:after="20"/>
      </w:pPr>
    </w:p>
    <w:p>
      <w:pPr>
        <w:pStyle w:val="Heading1"/>
      </w:pPr>
      <w:r>
        <w:t>36. Launch Readiness Checklist</w:t>
      </w:r>
    </w:p>
    <w:p>
      <w:pPr>
        <w:pStyle w:val="ListBullet"/>
      </w:pPr>
      <w:r>
        <w:t>Pilot schools identified and workflows observed.</w:t>
      </w:r>
    </w:p>
    <w:p>
      <w:pPr>
        <w:pStyle w:val="ListBullet"/>
      </w:pPr>
      <w:r>
        <w:t>Core ledger and reconciliation tested with realistic school data.</w:t>
      </w:r>
    </w:p>
    <w:p>
      <w:pPr>
        <w:pStyle w:val="ListBullet"/>
      </w:pPr>
      <w:r>
        <w:t>Tenant-isolation tests pass.</w:t>
      </w:r>
    </w:p>
    <w:p>
      <w:pPr>
        <w:pStyle w:val="ListBullet"/>
      </w:pPr>
      <w:r>
        <w:t>Staff MFA and privileged access controls enabled.</w:t>
      </w:r>
    </w:p>
    <w:p>
      <w:pPr>
        <w:pStyle w:val="ListBullet"/>
      </w:pPr>
      <w:r>
        <w:t>Backups and restore test completed.</w:t>
      </w:r>
    </w:p>
    <w:p>
      <w:pPr>
        <w:pStyle w:val="ListBullet"/>
      </w:pPr>
      <w:r>
        <w:t>Incident response and support escalation documented.</w:t>
      </w:r>
    </w:p>
    <w:p>
      <w:pPr>
        <w:pStyle w:val="ListBullet"/>
      </w:pPr>
      <w:r>
        <w:t>Privacy notices, processor agreements and retention policy prepared.</w:t>
      </w:r>
    </w:p>
    <w:p>
      <w:pPr>
        <w:pStyle w:val="ListBullet"/>
      </w:pPr>
      <w:r>
        <w:t>Payment integrations tested for duplicates, reversals and outages.</w:t>
      </w:r>
    </w:p>
    <w:p>
      <w:pPr>
        <w:pStyle w:val="ListBullet"/>
      </w:pPr>
      <w:r>
        <w:t>Ramp/off-ramp provider and Uganda settlement path validated before production claims.</w:t>
      </w:r>
    </w:p>
    <w:p>
      <w:pPr>
        <w:pStyle w:val="ListBullet"/>
      </w:pPr>
      <w:r>
        <w:t>Soroban contracts independently reviewed before meaningful mainnet funds.</w:t>
      </w:r>
    </w:p>
    <w:p>
      <w:pPr>
        <w:pStyle w:val="ListBullet"/>
      </w:pPr>
      <w:r>
        <w:t>AI prompts/tools tested for permission leakage and hallucinated financial values.</w:t>
      </w:r>
    </w:p>
    <w:p>
      <w:pPr>
        <w:pStyle w:val="ListBullet"/>
      </w:pPr>
      <w:r>
        <w:t>Monitoring dashboards and alerts operational.</w:t>
      </w:r>
    </w:p>
    <w:p>
      <w:pPr>
        <w:pStyle w:val="ListBullet"/>
      </w:pPr>
      <w:r>
        <w:t>Schools trained on cash entry, reconciliation, adjustments and approvals.</w:t>
      </w:r>
    </w:p>
    <w:p>
      <w:pPr>
        <w:pStyle w:val="ListBullet"/>
      </w:pPr>
      <w:r>
        <w:t>Support team can trace a payment end-to-end.</w:t>
      </w:r>
    </w:p>
    <w:p>
      <w:pPr>
        <w:pStyle w:val="Heading1"/>
      </w:pPr>
      <w:r>
        <w:t>37. Final Product Definition</w:t>
      </w:r>
    </w:p>
    <w:tbl>
      <w:tblPr>
        <w:tblW w:type="auto" w:w="0"/>
        <w:jc w:val="center"/>
        <w:tblLook w:firstColumn="1" w:firstRow="1" w:lastColumn="0" w:lastRow="0" w:noHBand="0" w:noVBand="1" w:val="04A0"/>
      </w:tblPr>
      <w:tblGrid>
        <w:gridCol w:w="10080"/>
      </w:tblGrid>
      <w:tr>
        <w:tc>
          <w:tcPr>
            <w:tcW w:type="dxa" w:w="10080"/>
            <w:shd w:fill="E9F3F2"/>
            <w:tcMar>
              <w:top w:w="120" w:type="dxa"/>
              <w:bottom w:w="120" w:type="dxa"/>
              <w:start w:w="160" w:type="dxa"/>
              <w:end w:w="160" w:type="dxa"/>
            </w:tcMar>
          </w:tcPr>
          <w:p>
            <w:r>
              <w:rPr>
                <w:b/>
                <w:color w:val="173F46"/>
              </w:rPr>
              <w:t>HarambeeOne</w:t>
              <w:br/>
            </w:r>
            <w:r>
              <w:t>A secure school-finance and education-funding platform that gives every learner one traceable financial record, lets families pay through familiar channels, helps schools reconcile and govern money professionally, and gives verified sponsors a low-friction way to fund education with optional programmable settlement on Stellar.</w:t>
            </w:r>
          </w:p>
        </w:tc>
      </w:tr>
    </w:tbl>
    <w:p>
      <w:pPr>
        <w:spacing w:after="0"/>
      </w:pPr>
    </w:p>
    <w:p>
      <w:r>
        <w:t>The product should succeed even when the user never hears the words blockchain, smart contract or USDC. Its quality will be judged by whether bursars trust the ledger, parents understand what has been paid, school leaders can control sensitive actions, sponsors can prove where education money went, and the technical system remains secure and auditable.</w:t>
      </w:r>
    </w:p>
    <w:p>
      <w:pPr>
        <w:pStyle w:val="Heading1"/>
      </w:pPr>
      <w:r>
        <w:t>38. Research Notes Used in This PRD</w:t>
      </w:r>
    </w:p>
    <w:p>
      <w:r>
        <w:t>The product direction reflects current Stellar documentation on anchors and SEP-24 hosted fiat deposits/withdrawals, including the requirement for real fiat rails and KYC handled by the anchor in hosted flows. Stellar’s current embedded-wallet documentation also notes that embedded wallets reduce wallet friction but do not provide a built-in off-ramp, so HarambeeOne must still solve school fiat settlement through a separate provider.</w:t>
      </w:r>
    </w:p>
    <w:p>
      <w:r>
        <w:t>The design also treats Ministry/EMIS interoperability as permission-based rather than assumed, and local-language support as an optional external service rather than a dependency of the financial core.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HarambeeOne • Product Requirements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F4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46A73"/>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333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F46"/>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HarambeeOne Product Requirements Document</dc:title>
  <dc:subject>School finance, sponsorship and programmable education funding</dc:subject>
  <dc:creator>HarambeeOne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