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A7A4A"/>
          <w:sz w:val="44"/>
          <w:szCs w:val="44"/>
        </w:rPr>
        <w:t xml:space="preserve">BUSINESS REQUIREMENTS DOCUMENT</w:t>
      </w:r>
    </w:p>
    <w:p>
      <w:pPr>
        <w:spacing w:after="120" w:before="0"/>
        <w:jc w:val="center"/>
      </w:pPr>
      <w:r>
        <w:rPr>
          <w:rFonts w:ascii="Arial" w:cs="Arial" w:eastAsia="Arial" w:hAnsi="Arial"/>
          <w:b/>
          <w:bCs/>
          <w:color w:val="1C2B2B"/>
          <w:sz w:val="32"/>
          <w:szCs w:val="32"/>
        </w:rPr>
        <w:t xml:space="preserve">Hospital Emergency Room Analytics Dashboard</w:t>
      </w:r>
    </w:p>
    <w:p>
      <w:pPr>
        <w:spacing w:after="80" w:before="0"/>
        <w:jc w:val="center"/>
      </w:pPr>
      <w:r>
        <w:rPr>
          <w:rFonts w:ascii="Arial" w:cs="Arial" w:eastAsia="Arial" w:hAnsi="Arial"/>
          <w:color w:val="555555"/>
          <w:sz w:val="24"/>
          <w:szCs w:val="24"/>
        </w:rPr>
        <w:t xml:space="preserve">Power BI | Data Analytics Project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1"/>
                <w:szCs w:val="21"/>
              </w:rPr>
              <w:t xml:space="preserve">Document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v1.0</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1"/>
                <w:szCs w:val="21"/>
              </w:rPr>
              <w:t xml:space="preserve">Prepared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Ashish</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1"/>
                <w:szCs w:val="21"/>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07 June 2026</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1"/>
                <w:szCs w:val="21"/>
              </w:rPr>
              <w:t xml:space="preserve">Project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Hospital Emergency Room Dashboard</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1"/>
                <w:szCs w:val="21"/>
              </w:rPr>
              <w:t xml:space="preserve">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Microsoft Power BI Desktop</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1"/>
                <w:szCs w:val="21"/>
              </w:rPr>
              <w:t xml:space="preserve">Data Source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Hospital ER Excel Dataset (April 2023 – October 2024)</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1"/>
                <w:szCs w:val="21"/>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Draft — For Stakeholder Review</w:t>
            </w:r>
          </w:p>
        </w:tc>
      </w:tr>
    </w:tbl>
    <w:p>
      <w:r>
        <w:rPr>
          <w:sz w:val="20"/>
          <w:szCs w:val="20"/>
        </w:rPr>
        <w:t xml:space="preserve"/>
      </w:r>
    </w:p>
    <w:p>
      <w:pPr>
        <w:pStyle w:val="Heading1"/>
        <w:pBdr>
          <w:bottom w:val="single" w:color="1A7A4A" w:sz="3" w:space="4"/>
        </w:pBdr>
        <w:spacing w:after="120" w:before="320"/>
      </w:pPr>
      <w:r>
        <w:rPr>
          <w:rFonts w:ascii="Arial" w:cs="Arial" w:eastAsia="Arial" w:hAnsi="Arial"/>
          <w:b/>
          <w:bCs/>
          <w:color w:val="1A7A4A"/>
          <w:sz w:val="28"/>
          <w:szCs w:val="28"/>
        </w:rPr>
        <w:t xml:space="preserve">1. Executive Summary</w:t>
      </w:r>
    </w:p>
    <w:p>
      <w:pPr>
        <w:spacing w:after="80" w:before="60"/>
      </w:pPr>
      <w:r>
        <w:rPr>
          <w:rFonts w:ascii="Arial" w:cs="Arial" w:eastAsia="Arial" w:hAnsi="Arial"/>
          <w:color w:val="555555"/>
          <w:sz w:val="22"/>
          <w:szCs w:val="22"/>
        </w:rPr>
        <w:t xml:space="preserve">This Business Requirements Document (BRD) outlines the complete functional, analytical, and technical requirements for the Hospital Emergency Room Analytics Dashboard, developed in Microsoft Power BI. The dashboard is built to support hospital administrators, clinical leads, and operational stakeholders in making data-driven decisions to optimize emergency room (ER) performance, improve patient experience, and allocate resources efficiently.</w:t>
      </w:r>
    </w:p>
    <w:p>
      <w:pPr>
        <w:spacing w:after="80" w:before="60"/>
      </w:pPr>
      <w:r>
        <w:rPr>
          <w:rFonts w:ascii="Arial" w:cs="Arial" w:eastAsia="Arial" w:hAnsi="Arial"/>
          <w:color w:val="555555"/>
          <w:sz w:val="22"/>
          <w:szCs w:val="22"/>
        </w:rPr>
        <w:t xml:space="preserve">The solution covers a 19-month period (April 2023 – October 2024) and encompasses 9,216 unique patient records. It delivers four purpose-built dashboard views — Monthly View, Consolidated View, Patient Details, and Key Takeaways — each designed to address a distinct analytical need.</w:t>
      </w:r>
    </w:p>
    <w:p>
      <w:r>
        <w:rPr>
          <w:sz w:val="20"/>
          <w:szCs w:val="20"/>
        </w:rPr>
        <w:t xml:space="preserve"/>
      </w:r>
    </w:p>
    <w:p>
      <w:pPr>
        <w:pStyle w:val="Heading1"/>
        <w:pBdr>
          <w:bottom w:val="single" w:color="1A7A4A" w:sz="3" w:space="4"/>
        </w:pBdr>
        <w:spacing w:after="120" w:before="320"/>
      </w:pPr>
      <w:r>
        <w:rPr>
          <w:rFonts w:ascii="Arial" w:cs="Arial" w:eastAsia="Arial" w:hAnsi="Arial"/>
          <w:b/>
          <w:bCs/>
          <w:color w:val="1A7A4A"/>
          <w:sz w:val="28"/>
          <w:szCs w:val="28"/>
        </w:rPr>
        <w:t xml:space="preserve">2. Project Scope</w:t>
      </w:r>
    </w:p>
    <w:p>
      <w:pPr>
        <w:pStyle w:val="Heading2"/>
        <w:spacing w:after="80" w:before="240"/>
      </w:pPr>
      <w:r>
        <w:rPr>
          <w:rFonts w:ascii="Arial" w:cs="Arial" w:eastAsia="Arial" w:hAnsi="Arial"/>
          <w:b/>
          <w:bCs/>
          <w:color w:val="1C2B2B"/>
          <w:sz w:val="24"/>
          <w:szCs w:val="24"/>
        </w:rPr>
        <w:t xml:space="preserve">2.1 In Scope</w:t>
      </w:r>
    </w:p>
    <w:p>
      <w:pPr>
        <w:pStyle w:val="ListParagraph"/>
        <w:numPr>
          <w:ilvl w:val="0"/>
          <w:numId w:val="2"/>
        </w:numPr>
        <w:spacing w:after="40" w:before="40"/>
      </w:pPr>
      <w:r>
        <w:rPr>
          <w:rFonts w:ascii="Arial" w:cs="Arial" w:eastAsia="Arial" w:hAnsi="Arial"/>
          <w:b w:val="false"/>
          <w:bCs w:val="false"/>
          <w:color w:val="555555"/>
          <w:sz w:val="22"/>
          <w:szCs w:val="22"/>
        </w:rPr>
        <w:t xml:space="preserve">Design and development of 4 Power BI dashboard views</w:t>
      </w:r>
    </w:p>
    <w:p>
      <w:pPr>
        <w:pStyle w:val="ListParagraph"/>
        <w:numPr>
          <w:ilvl w:val="0"/>
          <w:numId w:val="2"/>
        </w:numPr>
        <w:spacing w:after="40" w:before="40"/>
      </w:pPr>
      <w:r>
        <w:rPr>
          <w:rFonts w:ascii="Arial" w:cs="Arial" w:eastAsia="Arial" w:hAnsi="Arial"/>
          <w:b w:val="false"/>
          <w:bCs w:val="false"/>
          <w:color w:val="555555"/>
          <w:sz w:val="22"/>
          <w:szCs w:val="22"/>
        </w:rPr>
        <w:t xml:space="preserve">Data connection, cleaning, modeling, and transformation from the Excel source</w:t>
      </w:r>
    </w:p>
    <w:p>
      <w:pPr>
        <w:pStyle w:val="ListParagraph"/>
        <w:numPr>
          <w:ilvl w:val="0"/>
          <w:numId w:val="2"/>
        </w:numPr>
        <w:spacing w:after="40" w:before="40"/>
      </w:pPr>
      <w:r>
        <w:rPr>
          <w:rFonts w:ascii="Arial" w:cs="Arial" w:eastAsia="Arial" w:hAnsi="Arial"/>
          <w:b w:val="false"/>
          <w:bCs w:val="false"/>
          <w:color w:val="555555"/>
          <w:sz w:val="22"/>
          <w:szCs w:val="22"/>
        </w:rPr>
        <w:t xml:space="preserve">Creation of DAX measures and calculated columns</w:t>
      </w:r>
    </w:p>
    <w:p>
      <w:pPr>
        <w:pStyle w:val="ListParagraph"/>
        <w:numPr>
          <w:ilvl w:val="0"/>
          <w:numId w:val="2"/>
        </w:numPr>
        <w:spacing w:after="40" w:before="40"/>
      </w:pPr>
      <w:r>
        <w:rPr>
          <w:rFonts w:ascii="Arial" w:cs="Arial" w:eastAsia="Arial" w:hAnsi="Arial"/>
          <w:b w:val="false"/>
          <w:bCs w:val="false"/>
          <w:color w:val="555555"/>
          <w:sz w:val="22"/>
          <w:szCs w:val="22"/>
        </w:rPr>
        <w:t xml:space="preserve">KPI cards with sparklines for patient volume, wait time, satisfaction, and referrals</w:t>
      </w:r>
    </w:p>
    <w:p>
      <w:pPr>
        <w:pStyle w:val="ListParagraph"/>
        <w:numPr>
          <w:ilvl w:val="0"/>
          <w:numId w:val="2"/>
        </w:numPr>
        <w:spacing w:after="40" w:before="40"/>
      </w:pPr>
      <w:r>
        <w:rPr>
          <w:rFonts w:ascii="Arial" w:cs="Arial" w:eastAsia="Arial" w:hAnsi="Arial"/>
          <w:b w:val="false"/>
          <w:bCs w:val="false"/>
          <w:color w:val="555555"/>
          <w:sz w:val="22"/>
          <w:szCs w:val="22"/>
        </w:rPr>
        <w:t xml:space="preserve">Visual development: bar charts, column charts, donut charts, heatmap matrices, and data grids</w:t>
      </w:r>
    </w:p>
    <w:p>
      <w:pPr>
        <w:pStyle w:val="ListParagraph"/>
        <w:numPr>
          <w:ilvl w:val="0"/>
          <w:numId w:val="2"/>
        </w:numPr>
        <w:spacing w:after="40" w:before="40"/>
      </w:pPr>
      <w:r>
        <w:rPr>
          <w:rFonts w:ascii="Arial" w:cs="Arial" w:eastAsia="Arial" w:hAnsi="Arial"/>
          <w:b w:val="false"/>
          <w:bCs w:val="false"/>
          <w:color w:val="555555"/>
          <w:sz w:val="22"/>
          <w:szCs w:val="22"/>
        </w:rPr>
        <w:t xml:space="preserve">Descriptive analysis and key insights generation for stakeholder consumption</w:t>
      </w:r>
    </w:p>
    <w:p>
      <w:pPr>
        <w:pStyle w:val="ListParagraph"/>
        <w:numPr>
          <w:ilvl w:val="0"/>
          <w:numId w:val="2"/>
        </w:numPr>
        <w:spacing w:after="40" w:before="40"/>
      </w:pPr>
      <w:r>
        <w:rPr>
          <w:rFonts w:ascii="Arial" w:cs="Arial" w:eastAsia="Arial" w:hAnsi="Arial"/>
          <w:b w:val="false"/>
          <w:bCs w:val="false"/>
          <w:color w:val="555555"/>
          <w:sz w:val="22"/>
          <w:szCs w:val="22"/>
        </w:rPr>
        <w:t xml:space="preserve">Time intelligence using a dedicated Date Table</w:t>
      </w:r>
    </w:p>
    <w:p>
      <w:r>
        <w:rPr>
          <w:sz w:val="20"/>
          <w:szCs w:val="20"/>
        </w:rPr>
        <w:t xml:space="preserve"/>
      </w:r>
    </w:p>
    <w:p>
      <w:pPr>
        <w:pStyle w:val="Heading2"/>
        <w:spacing w:after="80" w:before="240"/>
      </w:pPr>
      <w:r>
        <w:rPr>
          <w:rFonts w:ascii="Arial" w:cs="Arial" w:eastAsia="Arial" w:hAnsi="Arial"/>
          <w:b/>
          <w:bCs/>
          <w:color w:val="1C2B2B"/>
          <w:sz w:val="24"/>
          <w:szCs w:val="24"/>
        </w:rPr>
        <w:t xml:space="preserve">2.2 Out of Scope</w:t>
      </w:r>
    </w:p>
    <w:p>
      <w:pPr>
        <w:pStyle w:val="ListParagraph"/>
        <w:numPr>
          <w:ilvl w:val="0"/>
          <w:numId w:val="2"/>
        </w:numPr>
        <w:spacing w:after="40" w:before="40"/>
      </w:pPr>
      <w:r>
        <w:rPr>
          <w:rFonts w:ascii="Arial" w:cs="Arial" w:eastAsia="Arial" w:hAnsi="Arial"/>
          <w:b w:val="false"/>
          <w:bCs w:val="false"/>
          <w:color w:val="555555"/>
          <w:sz w:val="22"/>
          <w:szCs w:val="22"/>
        </w:rPr>
        <w:t xml:space="preserve">Real-time or live data streaming from hospital systems</w:t>
      </w:r>
    </w:p>
    <w:p>
      <w:pPr>
        <w:pStyle w:val="ListParagraph"/>
        <w:numPr>
          <w:ilvl w:val="0"/>
          <w:numId w:val="2"/>
        </w:numPr>
        <w:spacing w:after="40" w:before="40"/>
      </w:pPr>
      <w:r>
        <w:rPr>
          <w:rFonts w:ascii="Arial" w:cs="Arial" w:eastAsia="Arial" w:hAnsi="Arial"/>
          <w:b w:val="false"/>
          <w:bCs w:val="false"/>
          <w:color w:val="555555"/>
          <w:sz w:val="22"/>
          <w:szCs w:val="22"/>
        </w:rPr>
        <w:t xml:space="preserve">Integration with Electronic Health Records (EHR) or hospital management software</w:t>
      </w:r>
    </w:p>
    <w:p>
      <w:pPr>
        <w:pStyle w:val="ListParagraph"/>
        <w:numPr>
          <w:ilvl w:val="0"/>
          <w:numId w:val="2"/>
        </w:numPr>
        <w:spacing w:after="40" w:before="40"/>
      </w:pPr>
      <w:r>
        <w:rPr>
          <w:rFonts w:ascii="Arial" w:cs="Arial" w:eastAsia="Arial" w:hAnsi="Arial"/>
          <w:b w:val="false"/>
          <w:bCs w:val="false"/>
          <w:color w:val="555555"/>
          <w:sz w:val="22"/>
          <w:szCs w:val="22"/>
        </w:rPr>
        <w:t xml:space="preserve">Predictive or machine learning models</w:t>
      </w:r>
    </w:p>
    <w:p>
      <w:pPr>
        <w:pStyle w:val="ListParagraph"/>
        <w:numPr>
          <w:ilvl w:val="0"/>
          <w:numId w:val="2"/>
        </w:numPr>
        <w:spacing w:after="40" w:before="40"/>
      </w:pPr>
      <w:r>
        <w:rPr>
          <w:rFonts w:ascii="Arial" w:cs="Arial" w:eastAsia="Arial" w:hAnsi="Arial"/>
          <w:b w:val="false"/>
          <w:bCs w:val="false"/>
          <w:color w:val="555555"/>
          <w:sz w:val="22"/>
          <w:szCs w:val="22"/>
        </w:rPr>
        <w:t xml:space="preserve">Mobile-optimized dashboard views</w:t>
      </w:r>
    </w:p>
    <w:p>
      <w:pPr>
        <w:pStyle w:val="ListParagraph"/>
        <w:numPr>
          <w:ilvl w:val="0"/>
          <w:numId w:val="2"/>
        </w:numPr>
        <w:spacing w:after="40" w:before="40"/>
      </w:pPr>
      <w:r>
        <w:rPr>
          <w:rFonts w:ascii="Arial" w:cs="Arial" w:eastAsia="Arial" w:hAnsi="Arial"/>
          <w:b w:val="false"/>
          <w:bCs w:val="false"/>
          <w:color w:val="555555"/>
          <w:sz w:val="22"/>
          <w:szCs w:val="22"/>
        </w:rPr>
        <w:t xml:space="preserve">Patient-identifiable data — dataset is anonymized for privacy compliance</w:t>
      </w:r>
    </w:p>
    <w:p>
      <w:r>
        <w:rPr>
          <w:sz w:val="20"/>
          <w:szCs w:val="20"/>
        </w:rPr>
        <w:t xml:space="preserve"/>
      </w:r>
    </w:p>
    <w:p>
      <w:pPr>
        <w:pStyle w:val="Heading1"/>
        <w:pBdr>
          <w:bottom w:val="single" w:color="1A7A4A" w:sz="3" w:space="4"/>
        </w:pBdr>
        <w:spacing w:after="120" w:before="320"/>
      </w:pPr>
      <w:r>
        <w:rPr>
          <w:rFonts w:ascii="Arial" w:cs="Arial" w:eastAsia="Arial" w:hAnsi="Arial"/>
          <w:b/>
          <w:bCs/>
          <w:color w:val="1A7A4A"/>
          <w:sz w:val="28"/>
          <w:szCs w:val="28"/>
        </w:rPr>
        <w:t xml:space="preserve">3. Business Objectives</w:t>
      </w:r>
    </w:p>
    <w:p>
      <w:pPr>
        <w:spacing w:after="80" w:before="60"/>
      </w:pPr>
      <w:r>
        <w:rPr>
          <w:rFonts w:ascii="Arial" w:cs="Arial" w:eastAsia="Arial" w:hAnsi="Arial"/>
          <w:color w:val="555555"/>
          <w:sz w:val="22"/>
          <w:szCs w:val="22"/>
        </w:rPr>
        <w:t xml:space="preserve">The primary objectives driving this dashboard initiative are:</w:t>
      </w:r>
    </w:p>
    <w:p>
      <w:pPr>
        <w:pStyle w:val="ListParagraph"/>
        <w:numPr>
          <w:ilvl w:val="0"/>
          <w:numId w:val="2"/>
        </w:numPr>
        <w:spacing w:after="40" w:before="40"/>
      </w:pPr>
      <w:r>
        <w:rPr>
          <w:rFonts w:ascii="Arial" w:cs="Arial" w:eastAsia="Arial" w:hAnsi="Arial"/>
          <w:b w:val="false"/>
          <w:bCs w:val="false"/>
          <w:color w:val="555555"/>
          <w:sz w:val="22"/>
          <w:szCs w:val="22"/>
        </w:rPr>
        <w:t xml:space="preserve">Track and monitor total ER patient volume on a daily, monthly, and cumulative basis</w:t>
      </w:r>
    </w:p>
    <w:p>
      <w:pPr>
        <w:pStyle w:val="ListParagraph"/>
        <w:numPr>
          <w:ilvl w:val="0"/>
          <w:numId w:val="2"/>
        </w:numPr>
        <w:spacing w:after="40" w:before="40"/>
      </w:pPr>
      <w:r>
        <w:rPr>
          <w:rFonts w:ascii="Arial" w:cs="Arial" w:eastAsia="Arial" w:hAnsi="Arial"/>
          <w:b w:val="false"/>
          <w:bCs w:val="false"/>
          <w:color w:val="555555"/>
          <w:sz w:val="22"/>
          <w:szCs w:val="22"/>
        </w:rPr>
        <w:t xml:space="preserve">Reduce average patient wait times by identifying operational bottlenecks and peak hours</w:t>
      </w:r>
    </w:p>
    <w:p>
      <w:pPr>
        <w:pStyle w:val="ListParagraph"/>
        <w:numPr>
          <w:ilvl w:val="0"/>
          <w:numId w:val="2"/>
        </w:numPr>
        <w:spacing w:after="40" w:before="40"/>
      </w:pPr>
      <w:r>
        <w:rPr>
          <w:rFonts w:ascii="Arial" w:cs="Arial" w:eastAsia="Arial" w:hAnsi="Arial"/>
          <w:b w:val="false"/>
          <w:bCs w:val="false"/>
          <w:color w:val="555555"/>
          <w:sz w:val="22"/>
          <w:szCs w:val="22"/>
        </w:rPr>
        <w:t xml:space="preserve">Measure and improve patient satisfaction scores through trend analysis</w:t>
      </w:r>
    </w:p>
    <w:p>
      <w:pPr>
        <w:pStyle w:val="ListParagraph"/>
        <w:numPr>
          <w:ilvl w:val="0"/>
          <w:numId w:val="2"/>
        </w:numPr>
        <w:spacing w:after="40" w:before="40"/>
      </w:pPr>
      <w:r>
        <w:rPr>
          <w:rFonts w:ascii="Arial" w:cs="Arial" w:eastAsia="Arial" w:hAnsi="Arial"/>
          <w:b w:val="false"/>
          <w:bCs w:val="false"/>
          <w:color w:val="555555"/>
          <w:sz w:val="22"/>
          <w:szCs w:val="22"/>
        </w:rPr>
        <w:t xml:space="preserve">Understand referral patterns across departments to support resource planning</w:t>
      </w:r>
    </w:p>
    <w:p>
      <w:pPr>
        <w:pStyle w:val="ListParagraph"/>
        <w:numPr>
          <w:ilvl w:val="0"/>
          <w:numId w:val="2"/>
        </w:numPr>
        <w:spacing w:after="40" w:before="40"/>
      </w:pPr>
      <w:r>
        <w:rPr>
          <w:rFonts w:ascii="Arial" w:cs="Arial" w:eastAsia="Arial" w:hAnsi="Arial"/>
          <w:b w:val="false"/>
          <w:bCs w:val="false"/>
          <w:color w:val="555555"/>
          <w:sz w:val="22"/>
          <w:szCs w:val="22"/>
        </w:rPr>
        <w:t xml:space="preserve">Analyze patient demographics (age, gender, race) to identify healthcare access disparities</w:t>
      </w:r>
    </w:p>
    <w:p>
      <w:pPr>
        <w:pStyle w:val="ListParagraph"/>
        <w:numPr>
          <w:ilvl w:val="0"/>
          <w:numId w:val="2"/>
        </w:numPr>
        <w:spacing w:after="40" w:before="40"/>
      </w:pPr>
      <w:r>
        <w:rPr>
          <w:rFonts w:ascii="Arial" w:cs="Arial" w:eastAsia="Arial" w:hAnsi="Arial"/>
          <w:b w:val="false"/>
          <w:bCs w:val="false"/>
          <w:color w:val="555555"/>
          <w:sz w:val="22"/>
          <w:szCs w:val="22"/>
        </w:rPr>
        <w:t xml:space="preserve">Provide a single source of truth for ER performance reporting to all stakeholders</w:t>
      </w:r>
    </w:p>
    <w:p>
      <w:pPr>
        <w:pStyle w:val="ListParagraph"/>
        <w:numPr>
          <w:ilvl w:val="0"/>
          <w:numId w:val="2"/>
        </w:numPr>
        <w:spacing w:after="40" w:before="40"/>
      </w:pPr>
      <w:r>
        <w:rPr>
          <w:rFonts w:ascii="Arial" w:cs="Arial" w:eastAsia="Arial" w:hAnsi="Arial"/>
          <w:b w:val="false"/>
          <w:bCs w:val="false"/>
          <w:color w:val="555555"/>
          <w:sz w:val="22"/>
          <w:szCs w:val="22"/>
        </w:rPr>
        <w:t xml:space="preserve">Enable month-over-month and period-over-period comparisons for strategic planning</w:t>
      </w:r>
    </w:p>
    <w:p>
      <w:r>
        <w:rPr>
          <w:sz w:val="20"/>
          <w:szCs w:val="20"/>
        </w:rPr>
        <w:t xml:space="preserve"/>
      </w:r>
    </w:p>
    <w:p>
      <w:pPr>
        <w:pStyle w:val="Heading1"/>
        <w:pBdr>
          <w:bottom w:val="single" w:color="1A7A4A" w:sz="3" w:space="4"/>
        </w:pBdr>
        <w:spacing w:after="120" w:before="320"/>
      </w:pPr>
      <w:r>
        <w:rPr>
          <w:rFonts w:ascii="Arial" w:cs="Arial" w:eastAsia="Arial" w:hAnsi="Arial"/>
          <w:b/>
          <w:bCs/>
          <w:color w:val="1A7A4A"/>
          <w:sz w:val="28"/>
          <w:szCs w:val="28"/>
        </w:rPr>
        <w:t xml:space="preserve">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Stakeholder</w:t>
            </w:r>
          </w:p>
        </w:tc>
        <w:tc>
          <w:tcPr>
            <w:tcW w:type="dxa" w:w="32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Role</w:t>
            </w:r>
          </w:p>
        </w:tc>
        <w:tc>
          <w:tcPr>
            <w:tcW w:type="dxa" w:w="32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Interest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Hospital Administrator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Executive Sponsor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Overall ER performance, cost efficiency, and patient outcomes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Clinical Lead / ER Head</w:t>
            </w:r>
          </w:p>
        </w:tc>
        <w:tc>
          <w:tcPr>
            <w:tcW w:type="dxa" w:w="32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Primary User</w:t>
            </w:r>
          </w:p>
        </w:tc>
        <w:tc>
          <w:tcPr>
            <w:tcW w:type="dxa" w:w="32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Wait times, referral rates, timeliness, and patient satisfaction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Operations Manager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Primary User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Staffing optimization, peak hours, and admission patterns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Data Analyst</w:t>
            </w:r>
          </w:p>
        </w:tc>
        <w:tc>
          <w:tcPr>
            <w:tcW w:type="dxa" w:w="32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Developer / Analyst</w:t>
            </w:r>
          </w:p>
        </w:tc>
        <w:tc>
          <w:tcPr>
            <w:tcW w:type="dxa" w:w="32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Data modeling, DAX, dashboard design, and insights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HR / Workforce Team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Secondary User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Staffing demand by day and hour for scheduling decisions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Quality &amp; Compliance</w:t>
            </w:r>
          </w:p>
        </w:tc>
        <w:tc>
          <w:tcPr>
            <w:tcW w:type="dxa" w:w="32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Secondary User</w:t>
            </w:r>
          </w:p>
        </w:tc>
        <w:tc>
          <w:tcPr>
            <w:tcW w:type="dxa" w:w="32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Patient satisfaction, admission flags, and demographic equity</w:t>
            </w:r>
          </w:p>
        </w:tc>
      </w:tr>
    </w:tbl>
    <w:p>
      <w:r>
        <w:rPr>
          <w:sz w:val="20"/>
          <w:szCs w:val="20"/>
        </w:rPr>
        <w:t xml:space="preserve"/>
      </w:r>
    </w:p>
    <w:p>
      <w:pPr>
        <w:pStyle w:val="Heading1"/>
        <w:pBdr>
          <w:bottom w:val="single" w:color="1A7A4A" w:sz="3" w:space="4"/>
        </w:pBdr>
        <w:spacing w:after="120" w:before="320"/>
      </w:pPr>
      <w:r>
        <w:rPr>
          <w:rFonts w:ascii="Arial" w:cs="Arial" w:eastAsia="Arial" w:hAnsi="Arial"/>
          <w:b/>
          <w:bCs/>
          <w:color w:val="1A7A4A"/>
          <w:sz w:val="28"/>
          <w:szCs w:val="28"/>
        </w:rPr>
        <w:t xml:space="preserve">5. Data Source &amp; Field Definitions</w:t>
      </w:r>
    </w:p>
    <w:p>
      <w:pPr>
        <w:spacing w:after="80" w:before="60"/>
      </w:pPr>
      <w:r>
        <w:rPr>
          <w:rFonts w:ascii="Arial" w:cs="Arial" w:eastAsia="Arial" w:hAnsi="Arial"/>
          <w:color w:val="555555"/>
          <w:sz w:val="22"/>
          <w:szCs w:val="22"/>
        </w:rPr>
        <w:t xml:space="preserve">The dataset is sourced from the Hospital Emergency Room Excel file covering April 2023 through October 2024. It contains 9,216 unique patient records across the following fields: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Field Name</w:t>
            </w:r>
          </w:p>
        </w:tc>
        <w:tc>
          <w:tcPr>
            <w:tcW w:type="dxa" w:w="67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Description &amp; Business 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Patient 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A unique alphanumeric code assigned to each patient. Primary identifier for tracking individual cases while ensuring privacy in data analysis.</w:t>
            </w:r>
          </w:p>
        </w:tc>
      </w:tr>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Patient Admission Date</w:t>
            </w:r>
          </w:p>
        </w:tc>
        <w:tc>
          <w:tcPr>
            <w:tcW w:type="dxa" w:w="6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The date and time the patient was admitted to the ER. Used to analyze peak admission times, seasonal trends, and emergency response rates.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Patient First Initial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The first letter of the patient's first name, used for anonymization to comply with privacy regulations (HIPAA / GDPR).</w:t>
            </w:r>
          </w:p>
        </w:tc>
      </w:tr>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Patient Last Name</w:t>
            </w:r>
          </w:p>
        </w:tc>
        <w:tc>
          <w:tcPr>
            <w:tcW w:type="dxa" w:w="6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The patient's last name. Used for case identification while maintaining anonymization standards in aggregated analysis.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Patient Gender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Gender identity recorded as Male, Female, or Not Confirmed. Used for demographic studies and healthcare disparity analysis.</w:t>
            </w:r>
          </w:p>
        </w:tc>
      </w:tr>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Patient Age</w:t>
            </w:r>
          </w:p>
        </w:tc>
        <w:tc>
          <w:tcPr>
            <w:tcW w:type="dxa" w:w="6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Numerical age at time of admission. Critical for age-group analysis and identifying which groups most frequently visit the 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Patient Race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Self-reported racial or ethnic identity. Essential for studying healthcare access, outcomes, and disparities across groups.</w:t>
            </w:r>
          </w:p>
        </w:tc>
      </w:tr>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Department Referral</w:t>
            </w:r>
          </w:p>
        </w:tc>
        <w:tc>
          <w:tcPr>
            <w:tcW w:type="dxa" w:w="6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The department the patient was referred to (e.g., General Practice, Orthopedics, Cardiology). Used for resource allocation analysis.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Patient Admin Flag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Binary field (True/False). True = admitted for further care; False = treated and released or referred to another facility.</w:t>
            </w:r>
          </w:p>
        </w:tc>
      </w:tr>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Patient Satisfaction Score</w:t>
            </w:r>
          </w:p>
        </w:tc>
        <w:tc>
          <w:tcPr>
            <w:tcW w:type="dxa" w:w="6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Score on a scale of 1–10 capturing the patient's evaluation of their ER experience. Used for service quality analysis.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Patient Wait Time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Time elapsed from patient arrival to first medical staff contact. Critical for operational efficiency and patient experience analysis.</w:t>
            </w:r>
          </w:p>
        </w:tc>
      </w:tr>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Patients CM (Case Manager)</w:t>
            </w:r>
          </w:p>
        </w:tc>
        <w:tc>
          <w:tcPr>
            <w:tcW w:type="dxa" w:w="6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The individual or team coordinating patient care. Used to analyze workload distribution and case management outcomes.</w:t>
            </w:r>
          </w:p>
        </w:tc>
      </w:tr>
    </w:tbl>
    <w:p>
      <w:r>
        <w:rPr>
          <w:sz w:val="20"/>
          <w:szCs w:val="20"/>
        </w:rPr>
        <w:t xml:space="preserve"/>
      </w:r>
    </w:p>
    <w:p>
      <w:pPr>
        <w:pStyle w:val="Heading1"/>
        <w:pBdr>
          <w:bottom w:val="single" w:color="1A7A4A" w:sz="3" w:space="4"/>
        </w:pBdr>
        <w:spacing w:after="120" w:before="320"/>
      </w:pPr>
      <w:r>
        <w:rPr>
          <w:rFonts w:ascii="Arial" w:cs="Arial" w:eastAsia="Arial" w:hAnsi="Arial"/>
          <w:b/>
          <w:bCs/>
          <w:color w:val="1A7A4A"/>
          <w:sz w:val="28"/>
          <w:szCs w:val="28"/>
        </w:rPr>
        <w:t xml:space="preserve">6. KPI Requirements</w:t>
      </w:r>
    </w:p>
    <w:p>
      <w:pPr>
        <w:spacing w:after="80" w:before="60"/>
      </w:pPr>
      <w:r>
        <w:rPr>
          <w:rFonts w:ascii="Arial" w:cs="Arial" w:eastAsia="Arial" w:hAnsi="Arial"/>
          <w:color w:val="555555"/>
          <w:sz w:val="22"/>
          <w:szCs w:val="22"/>
        </w:rPr>
        <w:t xml:space="preserve">The following four KPIs form the core performance metrics of the dashboard. Each is displayed as a card visual with an area sparkline showing daily trends.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KPI Name</w:t>
            </w:r>
          </w:p>
        </w:tc>
        <w:tc>
          <w:tcPr>
            <w:tcW w:type="dxa" w:w="35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35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Visual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of Patients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Total distinct patient count visiting the ER. Measured using DISTINCTCOUNT on Patient ID. Identifies peak days and seasonal volume trends.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KPI Card + Area Sparkline</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Avg Wait Time</w:t>
            </w:r>
          </w:p>
        </w:tc>
        <w:tc>
          <w:tcPr>
            <w:tcW w:type="dxa" w:w="35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Average time (in minutes) patients wait before being attended to by medical staff. Highlights operational bottlenecks and days requiring adjustment.</w:t>
            </w:r>
          </w:p>
        </w:tc>
        <w:tc>
          <w:tcPr>
            <w:tcW w:type="dxa" w:w="35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KPI Card + Area Sparkline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Patient Satisfaction Score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Average satisfaction score (1–10 scale) per day. Dips correlate with high wait times and peak hour stress on staff.</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KPI Card + Area Sparkline</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No. of Patients Referred</w:t>
            </w:r>
          </w:p>
        </w:tc>
        <w:tc>
          <w:tcPr>
            <w:tcW w:type="dxa" w:w="35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Count of patients referred to specialist departments. Helps identify departments with high referral volumes needing additional resources.</w:t>
            </w:r>
          </w:p>
        </w:tc>
        <w:tc>
          <w:tcPr>
            <w:tcW w:type="dxa" w:w="35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KPI Card + Area Sparkline</w:t>
            </w:r>
          </w:p>
        </w:tc>
      </w:tr>
    </w:tbl>
    <w:p>
      <w:r>
        <w:rPr>
          <w:sz w:val="20"/>
          <w:szCs w:val="20"/>
        </w:rPr>
        <w:t xml:space="preserve"/>
      </w:r>
    </w:p>
    <w:p>
      <w:pPr>
        <w:pStyle w:val="Heading1"/>
        <w:pBdr>
          <w:bottom w:val="single" w:color="1A7A4A" w:sz="3" w:space="4"/>
        </w:pBdr>
        <w:spacing w:after="120" w:before="320"/>
      </w:pPr>
      <w:r>
        <w:rPr>
          <w:rFonts w:ascii="Arial" w:cs="Arial" w:eastAsia="Arial" w:hAnsi="Arial"/>
          <w:b/>
          <w:bCs/>
          <w:color w:val="1A7A4A"/>
          <w:sz w:val="28"/>
          <w:szCs w:val="28"/>
        </w:rPr>
        <w:t xml:space="preserve">7. Dashboard Requirements</w:t>
      </w:r>
    </w:p>
    <w:p>
      <w:pPr>
        <w:spacing w:after="80" w:before="60"/>
      </w:pPr>
      <w:r>
        <w:rPr>
          <w:rFonts w:ascii="Arial" w:cs="Arial" w:eastAsia="Arial" w:hAnsi="Arial"/>
          <w:color w:val="555555"/>
          <w:sz w:val="22"/>
          <w:szCs w:val="22"/>
        </w:rPr>
        <w:t xml:space="preserve">The solution consists of four dashboard views, each serving a distinct analytical purpose: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Dashboard</w:t>
            </w:r>
          </w:p>
        </w:tc>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Objective</w:t>
            </w:r>
          </w:p>
        </w:tc>
        <w:tc>
          <w:tcPr>
            <w:tcW w:type="dxa" w:w="47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Charts / Visuals to Develop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Dashboard 1
Monthly 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Monitor KPIs and trends on a month-by-month basis. Filtered by Month Name and Year slicers.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Patient Admission Status (table), Age Group Distribution (column chart), Department Referrals (bar chart), Timeliness — % seen within 30 mins (donut), Gender Distribution (donut), Race Demographics (bar chart), Patients by Day &amp; Hour (heatmap matrix)</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Dashboard 2
Consolidated View</w:t>
            </w:r>
          </w:p>
        </w:tc>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Provide a holistic summary of ER performance across a customizable date range for broader trend analysis.</w:t>
            </w:r>
          </w:p>
        </w:tc>
        <w:tc>
          <w:tcPr>
            <w:tcW w:type="dxa" w:w="4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All Monthly View metrics aggregated over a selectable date range. Enables period-over-period comparison and trend identification across months and quarters.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Dashboard 3
Patient Details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Offer granular patient-level data to enable detailed analysis and individual case review.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Data grid table displaying: Patient ID, Full Name, Gender, Age, Admission Date, Race, Wait Time, Department Referral, Admission Status</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Dashboard 4
Key Takeaways</w:t>
            </w:r>
          </w:p>
        </w:tc>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Summarize findings across all dashboards with actionable insights for stakeholders.</w:t>
            </w:r>
          </w:p>
        </w:tc>
        <w:tc>
          <w:tcPr>
            <w:tcW w:type="dxa" w:w="4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Descriptive analysis text covering all KPIs, demographic findings, peak period analysis, referral patterns, admission trends, and recommendations</w:t>
            </w:r>
          </w:p>
        </w:tc>
      </w:tr>
    </w:tbl>
    <w:p>
      <w:r>
        <w:rPr>
          <w:sz w:val="20"/>
          <w:szCs w:val="20"/>
        </w:rPr>
        <w:t xml:space="preserve"/>
      </w:r>
    </w:p>
    <w:p>
      <w:pPr>
        <w:pStyle w:val="Heading1"/>
        <w:pBdr>
          <w:bottom w:val="single" w:color="1A7A4A" w:sz="3" w:space="4"/>
        </w:pBdr>
        <w:spacing w:after="120" w:before="320"/>
      </w:pPr>
      <w:r>
        <w:rPr>
          <w:rFonts w:ascii="Arial" w:cs="Arial" w:eastAsia="Arial" w:hAnsi="Arial"/>
          <w:b/>
          <w:bCs/>
          <w:color w:val="1A7A4A"/>
          <w:sz w:val="28"/>
          <w:szCs w:val="28"/>
        </w:rPr>
        <w:t xml:space="preserve">8. Calculated Columns &amp; DAX Measures</w:t>
      </w:r>
    </w:p>
    <w:p>
      <w:pPr>
        <w:pStyle w:val="Heading2"/>
        <w:spacing w:after="80" w:before="240"/>
      </w:pPr>
      <w:r>
        <w:rPr>
          <w:rFonts w:ascii="Arial" w:cs="Arial" w:eastAsia="Arial" w:hAnsi="Arial"/>
          <w:b/>
          <w:bCs/>
          <w:color w:val="1C2B2B"/>
          <w:sz w:val="24"/>
          <w:szCs w:val="24"/>
        </w:rPr>
        <w:t xml:space="preserve">8.1 DAX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Measure Name</w:t>
            </w:r>
          </w:p>
        </w:tc>
        <w:tc>
          <w:tcPr>
            <w:tcW w:type="dxa" w:w="65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DAX Formula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of Patients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DISTINCTCOUNT('Hospital ER_Data'[Patient Id])</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Avg Wait Time</w:t>
            </w:r>
          </w:p>
        </w:tc>
        <w:tc>
          <w:tcPr>
            <w:tcW w:type="dxa" w:w="6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AVERAGE('Hospital ER_Data'[Patient Waittime])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Patient Satisfaction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AVERAGE('Hospital ER_Data'[Patient Satisfaction Score])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No. of Patients Referred</w:t>
            </w:r>
          </w:p>
        </w:tc>
        <w:tc>
          <w:tcPr>
            <w:tcW w:type="dxa" w:w="6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CALCULATE([No. of Patients], 'Hospital ER_Data'[Department Referral] &lt;&gt; "None")</w:t>
            </w:r>
          </w:p>
        </w:tc>
      </w:tr>
    </w:tbl>
    <w:p>
      <w:r>
        <w:rPr>
          <w:sz w:val="20"/>
          <w:szCs w:val="20"/>
        </w:rPr>
        <w:t xml:space="preserve"/>
      </w:r>
    </w:p>
    <w:p>
      <w:pPr>
        <w:pStyle w:val="Heading2"/>
        <w:spacing w:after="80" w:before="240"/>
      </w:pPr>
      <w:r>
        <w:rPr>
          <w:rFonts w:ascii="Arial" w:cs="Arial" w:eastAsia="Arial" w:hAnsi="Arial"/>
          <w:b/>
          <w:bCs/>
          <w:color w:val="1C2B2B"/>
          <w:sz w:val="24"/>
          <w:szCs w:val="24"/>
        </w:rPr>
        <w:t xml:space="preserve">8.2 Calculated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Column Name</w:t>
            </w:r>
          </w:p>
        </w:tc>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Table</w:t>
            </w:r>
          </w:p>
        </w:tc>
        <w:tc>
          <w:tcPr>
            <w:tcW w:type="dxa" w:w="45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Logic / 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Admission 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Hospital ER_Data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IF([Patient Admission Flag] = TRUE, "Admitted", "Not Admitted") — converts binary flag to readable label</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Age Group</w:t>
            </w:r>
          </w:p>
        </w:tc>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Hospital ER_Data</w:t>
            </w:r>
          </w:p>
        </w:tc>
        <w:tc>
          <w:tcPr>
            <w:tcW w:type="dxa" w:w="4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SWITCH(TRUE(), ...) — groups Patient Age into 10-year bands: 0-9, 10-19, 20-29 ... 70-79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Waittime Interval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Hospital ER_Data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55555"/>
                <w:sz w:val="20"/>
                <w:szCs w:val="20"/>
              </w:rPr>
              <w:t xml:space="preserve">SWITCH(TRUE(), ...) — groups Admission Time into 2-hour slots: 00-02, 03-04 ... 23-24</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Month &amp; Year</w:t>
            </w:r>
          </w:p>
        </w:tc>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Date Table</w:t>
            </w:r>
          </w:p>
        </w:tc>
        <w:tc>
          <w:tcPr>
            <w:tcW w:type="dxa" w:w="4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r>
              <w:rPr>
                <w:rFonts w:ascii="Arial" w:cs="Arial" w:eastAsia="Arial" w:hAnsi="Arial"/>
                <w:color w:val="555555"/>
                <w:sz w:val="20"/>
                <w:szCs w:val="20"/>
              </w:rPr>
              <w:t xml:space="preserve">FORMAT([Date], "MMM YYYY") — creates readable month-year label for trend axis</w:t>
            </w:r>
          </w:p>
        </w:tc>
      </w:tr>
    </w:tbl>
    <w:p>
      <w:r>
        <w:rPr>
          <w:sz w:val="20"/>
          <w:szCs w:val="20"/>
        </w:rPr>
        <w:t xml:space="preserve"/>
      </w:r>
    </w:p>
    <w:p>
      <w:pPr>
        <w:pStyle w:val="Heading1"/>
        <w:pBdr>
          <w:bottom w:val="single" w:color="1A7A4A" w:sz="3" w:space="4"/>
        </w:pBdr>
        <w:spacing w:after="120" w:before="320"/>
      </w:pPr>
      <w:r>
        <w:rPr>
          <w:rFonts w:ascii="Arial" w:cs="Arial" w:eastAsia="Arial" w:hAnsi="Arial"/>
          <w:b/>
          <w:bCs/>
          <w:color w:val="1A7A4A"/>
          <w:sz w:val="28"/>
          <w:szCs w:val="28"/>
        </w:rPr>
        <w:t xml:space="preserve">9. Project Development Steps</w:t>
      </w:r>
    </w:p>
    <w:p>
      <w:pPr>
        <w:spacing w:after="80" w:before="60"/>
      </w:pPr>
      <w:r>
        <w:rPr>
          <w:rFonts w:ascii="Arial" w:cs="Arial" w:eastAsia="Arial" w:hAnsi="Arial"/>
          <w:color w:val="555555"/>
          <w:sz w:val="22"/>
          <w:szCs w:val="22"/>
        </w:rPr>
        <w:t xml:space="preserve">The following steps define the end-to-end development workflow for this Power BI solution:</w:t>
      </w:r>
    </w:p>
    <w:p>
      <w:pPr>
        <w:pStyle w:val="ListParagraph"/>
        <w:numPr>
          <w:ilvl w:val="0"/>
          <w:numId w:val="3"/>
        </w:numPr>
        <w:spacing w:after="40" w:before="60"/>
      </w:pPr>
      <w:r>
        <w:rPr>
          <w:rFonts w:ascii="Arial" w:cs="Arial" w:eastAsia="Arial" w:hAnsi="Arial"/>
          <w:b/>
          <w:bCs/>
          <w:color w:val="1C2B2B"/>
          <w:sz w:val="22"/>
          <w:szCs w:val="22"/>
        </w:rPr>
        <w:t xml:space="preserve">Requirement Gathering / Business Requirements</w:t>
      </w:r>
    </w:p>
    <w:p>
      <w:pPr>
        <w:pStyle w:val="ListParagraph"/>
        <w:numPr>
          <w:ilvl w:val="0"/>
          <w:numId w:val="3"/>
        </w:numPr>
        <w:spacing w:after="40" w:before="40"/>
      </w:pPr>
      <w:r>
        <w:rPr>
          <w:rFonts w:ascii="Arial" w:cs="Arial" w:eastAsia="Arial" w:hAnsi="Arial"/>
          <w:color w:val="555555"/>
          <w:sz w:val="22"/>
          <w:szCs w:val="22"/>
        </w:rPr>
        <w:t xml:space="preserve">Data Walkthrough — understand structure, fields, and data quality</w:t>
      </w:r>
    </w:p>
    <w:p>
      <w:pPr>
        <w:pStyle w:val="ListParagraph"/>
        <w:numPr>
          <w:ilvl w:val="0"/>
          <w:numId w:val="3"/>
        </w:numPr>
        <w:spacing w:after="40" w:before="40"/>
      </w:pPr>
      <w:r>
        <w:rPr>
          <w:rFonts w:ascii="Arial" w:cs="Arial" w:eastAsia="Arial" w:hAnsi="Arial"/>
          <w:color w:val="555555"/>
          <w:sz w:val="22"/>
          <w:szCs w:val="22"/>
        </w:rPr>
        <w:t xml:space="preserve">Data Connection — connect Power BI to the Excel data source</w:t>
      </w:r>
    </w:p>
    <w:p>
      <w:pPr>
        <w:pStyle w:val="ListParagraph"/>
        <w:numPr>
          <w:ilvl w:val="0"/>
          <w:numId w:val="3"/>
        </w:numPr>
        <w:spacing w:after="40" w:before="40"/>
      </w:pPr>
      <w:r>
        <w:rPr>
          <w:rFonts w:ascii="Arial" w:cs="Arial" w:eastAsia="Arial" w:hAnsi="Arial"/>
          <w:color w:val="555555"/>
          <w:sz w:val="22"/>
          <w:szCs w:val="22"/>
        </w:rPr>
        <w:t xml:space="preserve">Data Cleaning / Quality Check — handle nulls, duplicates, and formatting issues</w:t>
      </w:r>
    </w:p>
    <w:p>
      <w:pPr>
        <w:pStyle w:val="ListParagraph"/>
        <w:numPr>
          <w:ilvl w:val="0"/>
          <w:numId w:val="3"/>
        </w:numPr>
        <w:spacing w:after="40" w:before="40"/>
      </w:pPr>
      <w:r>
        <w:rPr>
          <w:rFonts w:ascii="Arial" w:cs="Arial" w:eastAsia="Arial" w:hAnsi="Arial"/>
          <w:color w:val="555555"/>
          <w:sz w:val="22"/>
          <w:szCs w:val="22"/>
        </w:rPr>
        <w:t xml:space="preserve">Data Modeling — build relationships between Date Table and Hospital ER_Data</w:t>
      </w:r>
    </w:p>
    <w:p>
      <w:pPr>
        <w:pStyle w:val="ListParagraph"/>
        <w:numPr>
          <w:ilvl w:val="0"/>
          <w:numId w:val="3"/>
        </w:numPr>
        <w:spacing w:after="40" w:before="40"/>
      </w:pPr>
      <w:r>
        <w:rPr>
          <w:rFonts w:ascii="Arial" w:cs="Arial" w:eastAsia="Arial" w:hAnsi="Arial"/>
          <w:color w:val="555555"/>
          <w:sz w:val="22"/>
          <w:szCs w:val="22"/>
        </w:rPr>
        <w:t xml:space="preserve">Data Processing — create calculated columns (Age Group, Admission Status, Waittime Interval)</w:t>
      </w:r>
    </w:p>
    <w:p>
      <w:pPr>
        <w:pStyle w:val="ListParagraph"/>
        <w:numPr>
          <w:ilvl w:val="0"/>
          <w:numId w:val="3"/>
        </w:numPr>
        <w:spacing w:after="40" w:before="40"/>
      </w:pPr>
      <w:r>
        <w:rPr>
          <w:rFonts w:ascii="Arial" w:cs="Arial" w:eastAsia="Arial" w:hAnsi="Arial"/>
          <w:color w:val="555555"/>
          <w:sz w:val="22"/>
          <w:szCs w:val="22"/>
        </w:rPr>
        <w:t xml:space="preserve">DAX Calculations — build all measures for KPIs</w:t>
      </w:r>
    </w:p>
    <w:p>
      <w:pPr>
        <w:pStyle w:val="ListParagraph"/>
        <w:numPr>
          <w:ilvl w:val="0"/>
          <w:numId w:val="3"/>
        </w:numPr>
        <w:spacing w:after="40" w:before="40"/>
      </w:pPr>
      <w:r>
        <w:rPr>
          <w:rFonts w:ascii="Arial" w:cs="Arial" w:eastAsia="Arial" w:hAnsi="Arial"/>
          <w:color w:val="555555"/>
          <w:sz w:val="22"/>
          <w:szCs w:val="22"/>
        </w:rPr>
        <w:t xml:space="preserve">Dashboard Layouting — design wireframe and canvas structure for all 4 views</w:t>
      </w:r>
    </w:p>
    <w:p>
      <w:pPr>
        <w:pStyle w:val="ListParagraph"/>
        <w:numPr>
          <w:ilvl w:val="0"/>
          <w:numId w:val="3"/>
        </w:numPr>
        <w:spacing w:after="40" w:before="40"/>
      </w:pPr>
      <w:r>
        <w:rPr>
          <w:rFonts w:ascii="Arial" w:cs="Arial" w:eastAsia="Arial" w:hAnsi="Arial"/>
          <w:color w:val="555555"/>
          <w:sz w:val="22"/>
          <w:szCs w:val="22"/>
        </w:rPr>
        <w:t xml:space="preserve">Charts Development and Formatting — build and style all visuals consistently</w:t>
      </w:r>
    </w:p>
    <w:p>
      <w:pPr>
        <w:pStyle w:val="ListParagraph"/>
        <w:numPr>
          <w:ilvl w:val="0"/>
          <w:numId w:val="3"/>
        </w:numPr>
        <w:spacing w:after="40" w:before="40"/>
      </w:pPr>
      <w:r>
        <w:rPr>
          <w:rFonts w:ascii="Arial" w:cs="Arial" w:eastAsia="Arial" w:hAnsi="Arial"/>
          <w:color w:val="555555"/>
          <w:sz w:val="22"/>
          <w:szCs w:val="22"/>
        </w:rPr>
        <w:t xml:space="preserve">Dashboard / Report Development — assemble all pages with slicers, filters, and navigation</w:t>
      </w:r>
    </w:p>
    <w:p>
      <w:pPr>
        <w:pStyle w:val="ListParagraph"/>
        <w:numPr>
          <w:ilvl w:val="0"/>
          <w:numId w:val="3"/>
        </w:numPr>
        <w:spacing w:after="80" w:before="40"/>
      </w:pPr>
      <w:r>
        <w:rPr>
          <w:rFonts w:ascii="Arial" w:cs="Arial" w:eastAsia="Arial" w:hAnsi="Arial"/>
          <w:color w:val="555555"/>
          <w:sz w:val="22"/>
          <w:szCs w:val="22"/>
        </w:rPr>
        <w:t xml:space="preserve">Insights Generation — write descriptive analysis and key takeaways for stakeholders</w:t>
      </w:r>
    </w:p>
    <w:p>
      <w:r>
        <w:rPr>
          <w:sz w:val="20"/>
          <w:szCs w:val="20"/>
        </w:rPr>
        <w:t xml:space="preserve"/>
      </w:r>
    </w:p>
    <w:p>
      <w:pPr>
        <w:pStyle w:val="Heading1"/>
        <w:pBdr>
          <w:bottom w:val="single" w:color="1A7A4A" w:sz="3" w:space="4"/>
        </w:pBdr>
        <w:spacing w:after="120" w:before="320"/>
      </w:pPr>
      <w:r>
        <w:rPr>
          <w:rFonts w:ascii="Arial" w:cs="Arial" w:eastAsia="Arial" w:hAnsi="Arial"/>
          <w:b/>
          <w:bCs/>
          <w:color w:val="1A7A4A"/>
          <w:sz w:val="28"/>
          <w:szCs w:val="28"/>
        </w:rPr>
        <w:t xml:space="preserve">10. Acceptance Criteria</w:t>
      </w:r>
    </w:p>
    <w:p>
      <w:pPr>
        <w:spacing w:after="80" w:before="60"/>
      </w:pPr>
      <w:r>
        <w:rPr>
          <w:rFonts w:ascii="Arial" w:cs="Arial" w:eastAsia="Arial" w:hAnsi="Arial"/>
          <w:color w:val="555555"/>
          <w:sz w:val="22"/>
          <w:szCs w:val="22"/>
        </w:rPr>
        <w:t xml:space="preserve">The dashboard will be considered complete and accepted when the following conditions are met:</w:t>
      </w:r>
    </w:p>
    <w:p>
      <w:pPr>
        <w:pStyle w:val="ListParagraph"/>
        <w:numPr>
          <w:ilvl w:val="0"/>
          <w:numId w:val="2"/>
        </w:numPr>
        <w:spacing w:after="40" w:before="40"/>
      </w:pPr>
      <w:r>
        <w:rPr>
          <w:rFonts w:ascii="Arial" w:cs="Arial" w:eastAsia="Arial" w:hAnsi="Arial"/>
          <w:b w:val="false"/>
          <w:bCs w:val="false"/>
          <w:color w:val="555555"/>
          <w:sz w:val="22"/>
          <w:szCs w:val="22"/>
        </w:rPr>
        <w:t xml:space="preserve">All 4 dashboard views are fully functional and render correctly in Power BI Desktop</w:t>
      </w:r>
    </w:p>
    <w:p>
      <w:pPr>
        <w:pStyle w:val="ListParagraph"/>
        <w:numPr>
          <w:ilvl w:val="0"/>
          <w:numId w:val="2"/>
        </w:numPr>
        <w:spacing w:after="40" w:before="40"/>
      </w:pPr>
      <w:r>
        <w:rPr>
          <w:rFonts w:ascii="Arial" w:cs="Arial" w:eastAsia="Arial" w:hAnsi="Arial"/>
          <w:b w:val="false"/>
          <w:bCs w:val="false"/>
          <w:color w:val="555555"/>
          <w:sz w:val="22"/>
          <w:szCs w:val="22"/>
        </w:rPr>
        <w:t xml:space="preserve">All 4 KPI cards display correct values with working area sparklines</w:t>
      </w:r>
    </w:p>
    <w:p>
      <w:pPr>
        <w:pStyle w:val="ListParagraph"/>
        <w:numPr>
          <w:ilvl w:val="0"/>
          <w:numId w:val="2"/>
        </w:numPr>
        <w:spacing w:after="40" w:before="40"/>
      </w:pPr>
      <w:r>
        <w:rPr>
          <w:rFonts w:ascii="Arial" w:cs="Arial" w:eastAsia="Arial" w:hAnsi="Arial"/>
          <w:b w:val="false"/>
          <w:bCs w:val="false"/>
          <w:color w:val="555555"/>
          <w:sz w:val="22"/>
          <w:szCs w:val="22"/>
        </w:rPr>
        <w:t xml:space="preserve">Month Name and Year slicers filter all visuals correctly on Monthly View</w:t>
      </w:r>
    </w:p>
    <w:p>
      <w:pPr>
        <w:pStyle w:val="ListParagraph"/>
        <w:numPr>
          <w:ilvl w:val="0"/>
          <w:numId w:val="2"/>
        </w:numPr>
        <w:spacing w:after="40" w:before="40"/>
      </w:pPr>
      <w:r>
        <w:rPr>
          <w:rFonts w:ascii="Arial" w:cs="Arial" w:eastAsia="Arial" w:hAnsi="Arial"/>
          <w:b w:val="false"/>
          <w:bCs w:val="false"/>
          <w:color w:val="555555"/>
          <w:sz w:val="22"/>
          <w:szCs w:val="22"/>
        </w:rPr>
        <w:t xml:space="preserve">Date range slicer works correctly on Consolidated View</w:t>
      </w:r>
    </w:p>
    <w:p>
      <w:pPr>
        <w:pStyle w:val="ListParagraph"/>
        <w:numPr>
          <w:ilvl w:val="0"/>
          <w:numId w:val="2"/>
        </w:numPr>
        <w:spacing w:after="40" w:before="40"/>
      </w:pPr>
      <w:r>
        <w:rPr>
          <w:rFonts w:ascii="Arial" w:cs="Arial" w:eastAsia="Arial" w:hAnsi="Arial"/>
          <w:b w:val="false"/>
          <w:bCs w:val="false"/>
          <w:color w:val="555555"/>
          <w:sz w:val="22"/>
          <w:szCs w:val="22"/>
        </w:rPr>
        <w:t xml:space="preserve">Patient Details grid displays all 9 required fields with accurate data</w:t>
      </w:r>
    </w:p>
    <w:p>
      <w:pPr>
        <w:pStyle w:val="ListParagraph"/>
        <w:numPr>
          <w:ilvl w:val="0"/>
          <w:numId w:val="2"/>
        </w:numPr>
        <w:spacing w:after="40" w:before="40"/>
      </w:pPr>
      <w:r>
        <w:rPr>
          <w:rFonts w:ascii="Arial" w:cs="Arial" w:eastAsia="Arial" w:hAnsi="Arial"/>
          <w:b w:val="false"/>
          <w:bCs w:val="false"/>
          <w:color w:val="555555"/>
          <w:sz w:val="22"/>
          <w:szCs w:val="22"/>
        </w:rPr>
        <w:t xml:space="preserve">Key Takeaways page contains complete descriptive analysis with insights</w:t>
      </w:r>
    </w:p>
    <w:p>
      <w:pPr>
        <w:pStyle w:val="ListParagraph"/>
        <w:numPr>
          <w:ilvl w:val="0"/>
          <w:numId w:val="2"/>
        </w:numPr>
        <w:spacing w:after="40" w:before="40"/>
      </w:pPr>
      <w:r>
        <w:rPr>
          <w:rFonts w:ascii="Arial" w:cs="Arial" w:eastAsia="Arial" w:hAnsi="Arial"/>
          <w:b w:val="false"/>
          <w:bCs w:val="false"/>
          <w:color w:val="555555"/>
          <w:sz w:val="22"/>
          <w:szCs w:val="22"/>
        </w:rPr>
        <w:t xml:space="preserve">All DAX measures return correct calculated values validated against source data</w:t>
      </w:r>
    </w:p>
    <w:p>
      <w:pPr>
        <w:pStyle w:val="ListParagraph"/>
        <w:numPr>
          <w:ilvl w:val="0"/>
          <w:numId w:val="2"/>
        </w:numPr>
        <w:spacing w:after="40" w:before="40"/>
      </w:pPr>
      <w:r>
        <w:rPr>
          <w:rFonts w:ascii="Arial" w:cs="Arial" w:eastAsia="Arial" w:hAnsi="Arial"/>
          <w:b w:val="false"/>
          <w:bCs w:val="false"/>
          <w:color w:val="555555"/>
          <w:sz w:val="22"/>
          <w:szCs w:val="22"/>
        </w:rPr>
        <w:t xml:space="preserve">Dashboard colour theme is consistent throughout all pages</w:t>
      </w:r>
    </w:p>
    <w:p>
      <w:pPr>
        <w:pStyle w:val="ListParagraph"/>
        <w:numPr>
          <w:ilvl w:val="0"/>
          <w:numId w:val="2"/>
        </w:numPr>
        <w:spacing w:after="40" w:before="40"/>
      </w:pPr>
      <w:r>
        <w:rPr>
          <w:rFonts w:ascii="Arial" w:cs="Arial" w:eastAsia="Arial" w:hAnsi="Arial"/>
          <w:b w:val="false"/>
          <w:bCs w:val="false"/>
          <w:color w:val="555555"/>
          <w:sz w:val="22"/>
          <w:szCs w:val="22"/>
        </w:rPr>
        <w:t xml:space="preserve">Data source button links correctly to the Excel file on OneDrive/Google Drive</w:t>
      </w:r>
    </w:p>
    <w:p>
      <w:pPr>
        <w:pStyle w:val="ListParagraph"/>
        <w:numPr>
          <w:ilvl w:val="0"/>
          <w:numId w:val="2"/>
        </w:numPr>
        <w:spacing w:after="40" w:before="40"/>
      </w:pPr>
      <w:r>
        <w:rPr>
          <w:rFonts w:ascii="Arial" w:cs="Arial" w:eastAsia="Arial" w:hAnsi="Arial"/>
          <w:b w:val="false"/>
          <w:bCs w:val="false"/>
          <w:color w:val="555555"/>
          <w:sz w:val="22"/>
          <w:szCs w:val="22"/>
        </w:rPr>
        <w:t xml:space="preserve">Document reviewed and signed off by the project stakeholder</w:t>
      </w:r>
    </w:p>
    <w:p>
      <w:r>
        <w:rPr>
          <w:sz w:val="20"/>
          <w:szCs w:val="20"/>
        </w:rPr>
        <w:t xml:space="preserve"/>
      </w:r>
    </w:p>
    <w:p>
      <w:pPr>
        <w:pStyle w:val="Heading1"/>
        <w:pBdr>
          <w:bottom w:val="single" w:color="1A7A4A" w:sz="3" w:space="4"/>
        </w:pBdr>
        <w:spacing w:after="120" w:before="320"/>
      </w:pPr>
      <w:r>
        <w:rPr>
          <w:rFonts w:ascii="Arial" w:cs="Arial" w:eastAsia="Arial" w:hAnsi="Arial"/>
          <w:b/>
          <w:bCs/>
          <w:color w:val="1A7A4A"/>
          <w:sz w:val="28"/>
          <w:szCs w:val="28"/>
        </w:rPr>
        <w:t xml:space="preserve">11. Assumptions &amp; Constraints</w:t>
      </w:r>
    </w:p>
    <w:p>
      <w:pPr>
        <w:pStyle w:val="Heading2"/>
        <w:spacing w:after="80" w:before="240"/>
      </w:pPr>
      <w:r>
        <w:rPr>
          <w:rFonts w:ascii="Arial" w:cs="Arial" w:eastAsia="Arial" w:hAnsi="Arial"/>
          <w:b/>
          <w:bCs/>
          <w:color w:val="1C2B2B"/>
          <w:sz w:val="24"/>
          <w:szCs w:val="24"/>
        </w:rPr>
        <w:t xml:space="preserve">11.1 Assumptions</w:t>
      </w:r>
    </w:p>
    <w:p>
      <w:pPr>
        <w:pStyle w:val="ListParagraph"/>
        <w:numPr>
          <w:ilvl w:val="0"/>
          <w:numId w:val="2"/>
        </w:numPr>
        <w:spacing w:after="40" w:before="40"/>
      </w:pPr>
      <w:r>
        <w:rPr>
          <w:rFonts w:ascii="Arial" w:cs="Arial" w:eastAsia="Arial" w:hAnsi="Arial"/>
          <w:b w:val="false"/>
          <w:bCs w:val="false"/>
          <w:color w:val="555555"/>
          <w:sz w:val="22"/>
          <w:szCs w:val="22"/>
        </w:rPr>
        <w:t xml:space="preserve">The Excel dataset is complete, accurate, and requires no major structural changes</w:t>
      </w:r>
    </w:p>
    <w:p>
      <w:pPr>
        <w:pStyle w:val="ListParagraph"/>
        <w:numPr>
          <w:ilvl w:val="0"/>
          <w:numId w:val="2"/>
        </w:numPr>
        <w:spacing w:after="40" w:before="40"/>
      </w:pPr>
      <w:r>
        <w:rPr>
          <w:rFonts w:ascii="Arial" w:cs="Arial" w:eastAsia="Arial" w:hAnsi="Arial"/>
          <w:b w:val="false"/>
          <w:bCs w:val="false"/>
          <w:color w:val="555555"/>
          <w:sz w:val="22"/>
          <w:szCs w:val="22"/>
        </w:rPr>
        <w:t xml:space="preserve">A dedicated Date Table will be created in Power BI for time intelligence calculations</w:t>
      </w:r>
    </w:p>
    <w:p>
      <w:pPr>
        <w:pStyle w:val="ListParagraph"/>
        <w:numPr>
          <w:ilvl w:val="0"/>
          <w:numId w:val="2"/>
        </w:numPr>
        <w:spacing w:after="40" w:before="40"/>
      </w:pPr>
      <w:r>
        <w:rPr>
          <w:rFonts w:ascii="Arial" w:cs="Arial" w:eastAsia="Arial" w:hAnsi="Arial"/>
          <w:b w:val="false"/>
          <w:bCs w:val="false"/>
          <w:color w:val="555555"/>
          <w:sz w:val="22"/>
          <w:szCs w:val="22"/>
        </w:rPr>
        <w:t xml:space="preserve">Stakeholders have access to Power BI Desktop or Power BI Service to view the report</w:t>
      </w:r>
    </w:p>
    <w:p>
      <w:pPr>
        <w:pStyle w:val="ListParagraph"/>
        <w:numPr>
          <w:ilvl w:val="0"/>
          <w:numId w:val="2"/>
        </w:numPr>
        <w:spacing w:after="40" w:before="40"/>
      </w:pPr>
      <w:r>
        <w:rPr>
          <w:rFonts w:ascii="Arial" w:cs="Arial" w:eastAsia="Arial" w:hAnsi="Arial"/>
          <w:b w:val="false"/>
          <w:bCs w:val="false"/>
          <w:color w:val="555555"/>
          <w:sz w:val="22"/>
          <w:szCs w:val="22"/>
        </w:rPr>
        <w:t xml:space="preserve">The dataset covers only the period April 2023 – October 2024 and will not be updated retroactively</w:t>
      </w:r>
    </w:p>
    <w:p>
      <w:pPr>
        <w:pStyle w:val="ListParagraph"/>
        <w:numPr>
          <w:ilvl w:val="0"/>
          <w:numId w:val="2"/>
        </w:numPr>
        <w:spacing w:after="40" w:before="40"/>
      </w:pPr>
      <w:r>
        <w:rPr>
          <w:rFonts w:ascii="Arial" w:cs="Arial" w:eastAsia="Arial" w:hAnsi="Arial"/>
          <w:b w:val="false"/>
          <w:bCs w:val="false"/>
          <w:color w:val="555555"/>
          <w:sz w:val="22"/>
          <w:szCs w:val="22"/>
        </w:rPr>
        <w:t xml:space="preserve">Patient data is anonymized and compliant with applicable privacy regulations</w:t>
      </w:r>
    </w:p>
    <w:p>
      <w:r>
        <w:rPr>
          <w:sz w:val="20"/>
          <w:szCs w:val="20"/>
        </w:rPr>
        <w:t xml:space="preserve"/>
      </w:r>
    </w:p>
    <w:p>
      <w:pPr>
        <w:pStyle w:val="Heading2"/>
        <w:spacing w:after="80" w:before="240"/>
      </w:pPr>
      <w:r>
        <w:rPr>
          <w:rFonts w:ascii="Arial" w:cs="Arial" w:eastAsia="Arial" w:hAnsi="Arial"/>
          <w:b/>
          <w:bCs/>
          <w:color w:val="1C2B2B"/>
          <w:sz w:val="24"/>
          <w:szCs w:val="24"/>
        </w:rPr>
        <w:t xml:space="preserve">11.2 Constraints</w:t>
      </w:r>
    </w:p>
    <w:p>
      <w:pPr>
        <w:pStyle w:val="ListParagraph"/>
        <w:numPr>
          <w:ilvl w:val="0"/>
          <w:numId w:val="2"/>
        </w:numPr>
        <w:spacing w:after="40" w:before="40"/>
      </w:pPr>
      <w:r>
        <w:rPr>
          <w:rFonts w:ascii="Arial" w:cs="Arial" w:eastAsia="Arial" w:hAnsi="Arial"/>
          <w:b w:val="false"/>
          <w:bCs w:val="false"/>
          <w:color w:val="555555"/>
          <w:sz w:val="22"/>
          <w:szCs w:val="22"/>
        </w:rPr>
        <w:t xml:space="preserve">No live data connection — dashboard reflects static dataset only</w:t>
      </w:r>
    </w:p>
    <w:p>
      <w:pPr>
        <w:pStyle w:val="ListParagraph"/>
        <w:numPr>
          <w:ilvl w:val="0"/>
          <w:numId w:val="2"/>
        </w:numPr>
        <w:spacing w:after="40" w:before="40"/>
      </w:pPr>
      <w:r>
        <w:rPr>
          <w:rFonts w:ascii="Arial" w:cs="Arial" w:eastAsia="Arial" w:hAnsi="Arial"/>
          <w:b w:val="false"/>
          <w:bCs w:val="false"/>
          <w:color w:val="555555"/>
          <w:sz w:val="22"/>
          <w:szCs w:val="22"/>
        </w:rPr>
        <w:t xml:space="preserve">Power BI Free license limitations may restrict sharing via Power BI Service</w:t>
      </w:r>
    </w:p>
    <w:p>
      <w:pPr>
        <w:pStyle w:val="ListParagraph"/>
        <w:numPr>
          <w:ilvl w:val="0"/>
          <w:numId w:val="2"/>
        </w:numPr>
        <w:spacing w:after="40" w:before="40"/>
      </w:pPr>
      <w:r>
        <w:rPr>
          <w:rFonts w:ascii="Arial" w:cs="Arial" w:eastAsia="Arial" w:hAnsi="Arial"/>
          <w:b w:val="false"/>
          <w:bCs w:val="false"/>
          <w:color w:val="555555"/>
          <w:sz w:val="22"/>
          <w:szCs w:val="22"/>
        </w:rPr>
        <w:t xml:space="preserve">Dataset is limited to ER records only; no outpatient or inpatient data is included</w:t>
      </w:r>
    </w:p>
    <w:p>
      <w:pPr>
        <w:pStyle w:val="ListParagraph"/>
        <w:numPr>
          <w:ilvl w:val="0"/>
          <w:numId w:val="2"/>
        </w:numPr>
        <w:spacing w:after="40" w:before="40"/>
      </w:pPr>
      <w:r>
        <w:rPr>
          <w:rFonts w:ascii="Arial" w:cs="Arial" w:eastAsia="Arial" w:hAnsi="Arial"/>
          <w:b w:val="false"/>
          <w:bCs w:val="false"/>
          <w:color w:val="555555"/>
          <w:sz w:val="22"/>
          <w:szCs w:val="22"/>
        </w:rPr>
        <w:t xml:space="preserve">Visuals are designed for desktop viewing; mobile layout is out of scope</w:t>
      </w:r>
    </w:p>
    <w:p>
      <w:r>
        <w:rPr>
          <w:sz w:val="20"/>
          <w:szCs w:val="20"/>
        </w:rPr>
        <w:t xml:space="preserve"/>
      </w:r>
    </w:p>
    <w:p>
      <w:pPr>
        <w:pStyle w:val="Heading1"/>
        <w:pBdr>
          <w:bottom w:val="single" w:color="1A7A4A" w:sz="3" w:space="4"/>
        </w:pBdr>
        <w:spacing w:after="120" w:before="320"/>
      </w:pPr>
      <w:r>
        <w:rPr>
          <w:rFonts w:ascii="Arial" w:cs="Arial" w:eastAsia="Arial" w:hAnsi="Arial"/>
          <w:b/>
          <w:bCs/>
          <w:color w:val="1A7A4A"/>
          <w:sz w:val="28"/>
          <w:szCs w:val="28"/>
        </w:rPr>
        <w:t xml:space="preserve">12. Document Sign-Off</w:t>
      </w:r>
    </w:p>
    <w:p>
      <w:pPr>
        <w:spacing w:after="80" w:before="60"/>
      </w:pPr>
      <w:r>
        <w:rPr>
          <w:rFonts w:ascii="Arial" w:cs="Arial" w:eastAsia="Arial" w:hAnsi="Arial"/>
          <w:color w:val="555555"/>
          <w:sz w:val="22"/>
          <w:szCs w:val="22"/>
        </w:rPr>
        <w:t xml:space="preserve">This BRD requires review and approval from the following stakeholders before development commences: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Name</w:t>
            </w:r>
          </w:p>
        </w:tc>
        <w:tc>
          <w:tcPr>
            <w:tcW w:type="dxa" w:w="22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Role</w:t>
            </w:r>
          </w:p>
        </w:tc>
        <w:tc>
          <w:tcPr>
            <w:tcW w:type="dxa" w:w="22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Signature</w:t>
            </w:r>
          </w:p>
        </w:tc>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1"/>
                <w:szCs w:val="21"/>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Hospital Administrator</w:t>
            </w:r>
          </w:p>
        </w:tc>
        <w:tc>
          <w:tcPr>
            <w:tcW w:type="dxa" w:w="2280"/>
            <w:tcBorders>
              <w:top w:val="single" w:color="CCCCCC" w:sz="1"/>
              <w:left w:val="single" w:color="CCCCCC" w:sz="1"/>
              <w:bottom w:val="single" w:color="CCCCCC" w:sz="1"/>
              <w:right w:val="single" w:color="CCCCCC" w:sz="1"/>
            </w:tcBorders>
            <w:shd w:fill="FFFFFF" w:val="clear"/>
            <w:tcMar>
              <w:top w:type="dxa" w:w="180"/>
              <w:left w:type="dxa" w:w="120"/>
              <w:bottom w:type="dxa" w:w="180"/>
              <w:right w:type="dxa" w:w="120"/>
            </w:tcMar>
          </w:tcPr>
          <w:p>
            <w:r>
              <w:rPr>
                <w:sz w:val="22"/>
                <w:szCs w:val="22"/>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180"/>
              <w:left w:type="dxa" w:w="120"/>
              <w:bottom w:type="dxa" w:w="180"/>
              <w:right w:type="dxa" w:w="120"/>
            </w:tcMar>
          </w:tcPr>
          <w:p>
            <w:r>
              <w:rPr>
                <w:sz w:val="22"/>
                <w:szCs w:val="22"/>
              </w:rPr>
              <w:t xml:space="preserve"/>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sz w:val="22"/>
                <w:szCs w:val="22"/>
              </w:rPr>
              <w:t xml:space="preserve"/>
            </w:r>
          </w:p>
        </w:tc>
        <w:tc>
          <w:tcPr>
            <w:tcW w:type="dxa" w:w="22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Clinical Lead / ER Head</w:t>
            </w:r>
          </w:p>
        </w:tc>
        <w:tc>
          <w:tcPr>
            <w:tcW w:type="dxa" w:w="2280"/>
            <w:tcBorders>
              <w:top w:val="single" w:color="CCCCCC" w:sz="1"/>
              <w:left w:val="single" w:color="CCCCCC" w:sz="1"/>
              <w:bottom w:val="single" w:color="CCCCCC" w:sz="1"/>
              <w:right w:val="single" w:color="CCCCCC" w:sz="1"/>
            </w:tcBorders>
            <w:shd w:fill="E8F5EE" w:val="clear"/>
            <w:tcMar>
              <w:top w:type="dxa" w:w="180"/>
              <w:left w:type="dxa" w:w="120"/>
              <w:bottom w:type="dxa" w:w="180"/>
              <w:right w:type="dxa" w:w="120"/>
            </w:tcMar>
          </w:tcPr>
          <w:p>
            <w:r>
              <w:rPr>
                <w:sz w:val="22"/>
                <w:szCs w:val="22"/>
              </w:rPr>
              <w:t xml:space="preserve"/>
            </w:r>
          </w:p>
        </w:tc>
        <w:tc>
          <w:tcPr>
            <w:tcW w:type="dxa" w:w="2000"/>
            <w:tcBorders>
              <w:top w:val="single" w:color="CCCCCC" w:sz="1"/>
              <w:left w:val="single" w:color="CCCCCC" w:sz="1"/>
              <w:bottom w:val="single" w:color="CCCCCC" w:sz="1"/>
              <w:right w:val="single" w:color="CCCCCC" w:sz="1"/>
            </w:tcBorders>
            <w:shd w:fill="E8F5EE" w:val="clear"/>
            <w:tcMar>
              <w:top w:type="dxa" w:w="180"/>
              <w:left w:type="dxa" w:w="120"/>
              <w:bottom w:type="dxa" w:w="180"/>
              <w:right w:type="dxa" w:w="120"/>
            </w:tcMar>
          </w:tcPr>
          <w:p>
            <w:r>
              <w:rPr>
                <w:sz w:val="22"/>
                <w:szCs w:val="22"/>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Operations Manager</w:t>
            </w:r>
          </w:p>
        </w:tc>
        <w:tc>
          <w:tcPr>
            <w:tcW w:type="dxa" w:w="2280"/>
            <w:tcBorders>
              <w:top w:val="single" w:color="CCCCCC" w:sz="1"/>
              <w:left w:val="single" w:color="CCCCCC" w:sz="1"/>
              <w:bottom w:val="single" w:color="CCCCCC" w:sz="1"/>
              <w:right w:val="single" w:color="CCCCCC" w:sz="1"/>
            </w:tcBorders>
            <w:shd w:fill="FFFFFF" w:val="clear"/>
            <w:tcMar>
              <w:top w:type="dxa" w:w="180"/>
              <w:left w:type="dxa" w:w="120"/>
              <w:bottom w:type="dxa" w:w="180"/>
              <w:right w:type="dxa" w:w="120"/>
            </w:tcMar>
          </w:tcPr>
          <w:p>
            <w:r>
              <w:rPr>
                <w:sz w:val="22"/>
                <w:szCs w:val="22"/>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180"/>
              <w:left w:type="dxa" w:w="120"/>
              <w:bottom w:type="dxa" w:w="180"/>
              <w:right w:type="dxa" w:w="120"/>
            </w:tcMar>
          </w:tcPr>
          <w:p>
            <w:r>
              <w:rPr>
                <w:sz w:val="22"/>
                <w:szCs w:val="22"/>
              </w:rPr>
              <w:t xml:space="preserve"/>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sz w:val="22"/>
                <w:szCs w:val="22"/>
              </w:rPr>
              <w:t xml:space="preserve"/>
            </w:r>
          </w:p>
        </w:tc>
        <w:tc>
          <w:tcPr>
            <w:tcW w:type="dxa" w:w="22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555555"/>
                <w:sz w:val="20"/>
                <w:szCs w:val="20"/>
              </w:rPr>
              <w:t xml:space="preserve">Data Analyst</w:t>
            </w:r>
          </w:p>
        </w:tc>
        <w:tc>
          <w:tcPr>
            <w:tcW w:type="dxa" w:w="2280"/>
            <w:tcBorders>
              <w:top w:val="single" w:color="CCCCCC" w:sz="1"/>
              <w:left w:val="single" w:color="CCCCCC" w:sz="1"/>
              <w:bottom w:val="single" w:color="CCCCCC" w:sz="1"/>
              <w:right w:val="single" w:color="CCCCCC" w:sz="1"/>
            </w:tcBorders>
            <w:shd w:fill="E8F5EE" w:val="clear"/>
            <w:tcMar>
              <w:top w:type="dxa" w:w="180"/>
              <w:left w:type="dxa" w:w="120"/>
              <w:bottom w:type="dxa" w:w="180"/>
              <w:right w:type="dxa" w:w="120"/>
            </w:tcMar>
          </w:tcPr>
          <w:p>
            <w:r>
              <w:rPr>
                <w:sz w:val="22"/>
                <w:szCs w:val="22"/>
              </w:rPr>
              <w:t xml:space="preserve"/>
            </w:r>
          </w:p>
        </w:tc>
        <w:tc>
          <w:tcPr>
            <w:tcW w:type="dxa" w:w="2000"/>
            <w:tcBorders>
              <w:top w:val="single" w:color="CCCCCC" w:sz="1"/>
              <w:left w:val="single" w:color="CCCCCC" w:sz="1"/>
              <w:bottom w:val="single" w:color="CCCCCC" w:sz="1"/>
              <w:right w:val="single" w:color="CCCCCC" w:sz="1"/>
            </w:tcBorders>
            <w:shd w:fill="E8F5EE" w:val="clear"/>
            <w:tcMar>
              <w:top w:type="dxa" w:w="180"/>
              <w:left w:type="dxa" w:w="120"/>
              <w:bottom w:type="dxa" w:w="180"/>
              <w:right w:type="dxa" w:w="120"/>
            </w:tcMar>
          </w:tcPr>
          <w:p>
            <w:r>
              <w:rPr>
                <w:sz w:val="22"/>
                <w:szCs w:val="22"/>
              </w:rPr>
              <w:t xml:space="preserve"/>
            </w:r>
          </w:p>
        </w:tc>
      </w:tr>
    </w:tbl>
    <w:p>
      <w:r>
        <w:rPr>
          <w:sz w:val="20"/>
          <w:szCs w:val="20"/>
        </w:rPr>
        <w:t xml:space="preserve"/>
      </w:r>
    </w:p>
    <w:p>
      <w:pPr>
        <w:spacing w:after="0" w:before="200"/>
        <w:jc w:val="center"/>
      </w:pPr>
      <w:r>
        <w:rPr>
          <w:rFonts w:ascii="Arial" w:cs="Arial" w:eastAsia="Arial" w:hAnsi="Arial"/>
          <w:color w:val="555555"/>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4A" w:sz="3" w:space="4"/>
      </w:pBdr>
      <w:tabs>
        <w:tab w:val="right" w:pos="9026"/>
      </w:tabs>
      <w:spacing w:before="0"/>
    </w:pPr>
    <w:r>
      <w:rPr>
        <w:rFonts w:ascii="Arial" w:cs="Arial" w:eastAsia="Arial" w:hAnsi="Arial"/>
        <w:color w:val="555555"/>
        <w:sz w:val="18"/>
        <w:szCs w:val="18"/>
      </w:rPr>
      <w:t xml:space="preserve">Confidential — Internal Use Only</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3" w:space="4"/>
      </w:pBdr>
      <w:spacing w:after="0"/>
    </w:pPr>
    <w:r>
      <w:rPr>
        <w:rFonts w:ascii="Arial" w:cs="Arial" w:eastAsia="Arial" w:hAnsi="Arial"/>
        <w:b/>
        <w:bCs/>
        <w:color w:val="1A7A4A"/>
        <w:sz w:val="18"/>
        <w:szCs w:val="18"/>
      </w:rPr>
      <w:t xml:space="preserve">Business Requirements Document (BRD)</w:t>
    </w:r>
    <w:r>
      <w:rPr>
        <w:rFonts w:ascii="Arial" w:cs="Arial" w:eastAsia="Arial" w:hAnsi="Arial"/>
        <w:color w:val="555555"/>
        <w:sz w:val="18"/>
        <w:szCs w:val="18"/>
      </w:rPr>
      <w:t xml:space="preserve">   |   Hospital Emergency Room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7A4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C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2026-06-07T14:24:46.420Z</dcterms:created>
  <dcterms:modified xsi:type="dcterms:W3CDTF">2026-06-07T14:24:46.420Z</dcterms:modified>
</cp:coreProperties>
</file>

<file path=docProps/custom.xml><?xml version="1.0" encoding="utf-8"?>
<Properties xmlns="http://schemas.openxmlformats.org/officeDocument/2006/custom-properties" xmlns:vt="http://schemas.openxmlformats.org/officeDocument/2006/docPropsVTypes"/>
</file>