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C8C" w:rsidRDefault="00CE578D" w:rsidP="00CE578D">
      <w:pPr>
        <w:pStyle w:val="1"/>
      </w:pPr>
      <w:r>
        <w:rPr>
          <w:rFonts w:hint="eastAsia"/>
        </w:rPr>
        <w:t>优化理论</w:t>
      </w:r>
    </w:p>
    <w:p w:rsidR="00CE578D" w:rsidRDefault="00CE578D" w:rsidP="00CE578D">
      <w:pPr>
        <w:pStyle w:val="2"/>
      </w:pPr>
      <w:r>
        <w:rPr>
          <w:rFonts w:hint="eastAsia"/>
        </w:rPr>
        <w:t>Directional</w:t>
      </w:r>
      <w:r>
        <w:t xml:space="preserve"> </w:t>
      </w:r>
      <w:r>
        <w:rPr>
          <w:rFonts w:hint="eastAsia"/>
        </w:rPr>
        <w:t>derivative</w:t>
      </w:r>
    </w:p>
    <w:p w:rsidR="00B40D4C" w:rsidRPr="00B40D4C" w:rsidRDefault="00B40D4C" w:rsidP="00B40D4C">
      <w:r>
        <w:rPr>
          <w:noProof/>
        </w:rPr>
        <w:drawing>
          <wp:inline distT="0" distB="0" distL="0" distR="0" wp14:anchorId="3E1E52F1" wp14:editId="64AAE353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8D" w:rsidRDefault="00CE578D" w:rsidP="00CE578D">
      <w:r>
        <w:rPr>
          <w:noProof/>
        </w:rPr>
        <w:drawing>
          <wp:inline distT="0" distB="0" distL="0" distR="0" wp14:anchorId="7D44DE1C" wp14:editId="69B21671">
            <wp:extent cx="3390900" cy="16819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1524" cy="16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AC" w:rsidRDefault="001345AC" w:rsidP="00CE578D">
      <w:r>
        <w:rPr>
          <w:rFonts w:hint="eastAsia"/>
        </w:rPr>
        <w:t>方向向量长度的变化会影响方向导数大小，而我们希望方向导数与方向向量长度无关</w:t>
      </w:r>
    </w:p>
    <w:p w:rsidR="001345AC" w:rsidRDefault="001345AC" w:rsidP="00CE578D"/>
    <w:p w:rsidR="001345AC" w:rsidRDefault="00511B18" w:rsidP="00511B18">
      <w:pPr>
        <w:pStyle w:val="2"/>
      </w:pPr>
      <w:r>
        <w:rPr>
          <w:rFonts w:hint="eastAsia"/>
        </w:rPr>
        <w:t>傅里叶变换</w:t>
      </w:r>
    </w:p>
    <w:p w:rsidR="00511B18" w:rsidRDefault="00BB27CF" w:rsidP="00511B18">
      <w:pPr>
        <w:rPr>
          <w:rFonts w:ascii="微软雅黑" w:eastAsia="微软雅黑" w:hAnsi="微软雅黑"/>
          <w:color w:val="4D4D4D"/>
          <w:shd w:val="clear" w:color="auto" w:fill="FFFFFF"/>
        </w:rPr>
      </w:pPr>
      <w:r w:rsidRPr="00BB27CF">
        <w:rPr>
          <w:rFonts w:ascii="微软雅黑" w:eastAsia="微软雅黑" w:hAnsi="微软雅黑" w:hint="eastAsia"/>
          <w:color w:val="4D4D4D"/>
          <w:shd w:val="clear" w:color="auto" w:fill="FFFFFF"/>
        </w:rPr>
        <w:t>一种从时间到频率的变化或其相互转化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。</w:t>
      </w:r>
    </w:p>
    <w:p w:rsidR="00BB27CF" w:rsidRDefault="00BB27CF" w:rsidP="00511B1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3211830" cy="763905"/>
            <wp:effectExtent l="0" t="0" r="7620" b="0"/>
            <wp:docPr id="3" name="图片 3" descr="http://hi.csdn.net/attachment/201102/21/8394323_1298253739kq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.csdn.net/attachment/201102/21/8394323_1298253739kqo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CF" w:rsidRDefault="00BB27CF" w:rsidP="00511B18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>任何连续周期信号都可以由一组适当的正弦曲线组合而成。</w:t>
      </w:r>
    </w:p>
    <w:p w:rsidR="00BB27CF" w:rsidRDefault="00BB27CF" w:rsidP="00511B1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37238D3" wp14:editId="0C3FFC1C">
            <wp:extent cx="5274310" cy="1285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49" w:rsidRDefault="00BB27CF" w:rsidP="00511B1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3761693"/>
            <wp:effectExtent l="0" t="0" r="2540" b="0"/>
            <wp:docPr id="5" name="图片 5" descr="http://hi.csdn.net/attachment/201102/20/8394323_1298213518qf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.csdn.net/attachment/201102/20/8394323_1298213518qfT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049" w:rsidRDefault="0071504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BB27CF" w:rsidRDefault="00BB27CF" w:rsidP="00511B18">
      <w:pPr>
        <w:rPr>
          <w:rFonts w:ascii="微软雅黑" w:eastAsia="微软雅黑" w:hAnsi="微软雅黑"/>
        </w:rPr>
      </w:pPr>
      <w:bookmarkStart w:id="0" w:name="_GoBack"/>
      <w:bookmarkEnd w:id="0"/>
    </w:p>
    <w:p w:rsidR="00715049" w:rsidRDefault="00715049" w:rsidP="00715049">
      <w:pPr>
        <w:pStyle w:val="2"/>
      </w:pPr>
      <w:r>
        <w:rPr>
          <w:rFonts w:hint="eastAsia"/>
        </w:rPr>
        <w:t>KL散度</w:t>
      </w:r>
    </w:p>
    <w:p w:rsidR="00715049" w:rsidRDefault="00715049" w:rsidP="00715049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hint="eastAsia"/>
        </w:rPr>
        <w:t>Kullback-Leibler Divergence 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用来衡量两个概率分布的相似性的一个度量指标。</w:t>
      </w:r>
    </w:p>
    <w:p w:rsidR="00715049" w:rsidRDefault="00715049" w:rsidP="00715049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信息熵（数值越大代表概率分布包含的学习率越大）</w:t>
      </w:r>
    </w:p>
    <w:p w:rsidR="00715049" w:rsidRDefault="00715049" w:rsidP="00715049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H=-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r>
                <w:rPr>
                  <w:rFonts w:ascii="Cambria Math" w:hAnsi="Cambria Math"/>
                </w:rPr>
                <m:t>⁡p(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715049" w:rsidRDefault="00715049" w:rsidP="00715049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在信息熵的基础上，我们定义 KL 散度为：</w:t>
      </w:r>
    </w:p>
    <w:p w:rsidR="00715049" w:rsidRDefault="00715049" w:rsidP="0071504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KL</m:t>
            </m:r>
          </m:sub>
        </m:sSub>
        <m:r>
          <w:rPr>
            <w:rFonts w:ascii="Cambria Math" w:hAnsi="Cambria Math"/>
          </w:rPr>
          <m:t>(p||q)=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)⋅(</m:t>
            </m:r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r>
              <w:rPr>
                <w:rFonts w:ascii="Cambria Math" w:hAnsi="Cambria Math"/>
              </w:rPr>
              <m:t>⁡p(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)-</m:t>
            </m:r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r>
              <w:rPr>
                <w:rFonts w:ascii="Cambria Math" w:hAnsi="Cambria Math"/>
              </w:rPr>
              <m:t>⁡(q(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))</m:t>
            </m:r>
          </m:e>
        </m:nary>
      </m:oMath>
      <w:r>
        <w:rPr>
          <w:rFonts w:hint="eastAsia"/>
        </w:rPr>
        <w:t xml:space="preserve"> 或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KL</m:t>
            </m:r>
          </m:sub>
        </m:sSub>
        <m:r>
          <w:rPr>
            <w:rFonts w:ascii="Cambria Math" w:hAnsi="Cambria Math"/>
          </w:rPr>
          <m:t>(p||q)=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)⋅</m:t>
            </m:r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r>
              <w:rPr>
                <w:rFonts w:ascii="Cambria Math" w:hAnsi="Cambria Math"/>
              </w:rPr>
              <m:t>⁡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w:rPr>
                    <w:rFonts w:ascii="Cambria Math" w:hAnsi="Cambria Math"/>
                  </w:rPr>
                  <m:t>q(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den>
            </m:f>
          </m:e>
        </m:nary>
      </m:oMath>
    </w:p>
    <w:p w:rsidR="00715049" w:rsidRPr="00715049" w:rsidRDefault="00715049" w:rsidP="00715049">
      <w:pPr>
        <w:rPr>
          <w:rFonts w:hint="eastAsia"/>
        </w:rPr>
      </w:pPr>
    </w:p>
    <w:p w:rsidR="00715049" w:rsidRDefault="00715049" w:rsidP="00715049">
      <w:pPr>
        <w:rPr>
          <w:rFonts w:ascii="微软雅黑" w:eastAsia="微软雅黑" w:hAnsi="微软雅黑"/>
          <w:color w:val="4D4D4D"/>
          <w:shd w:val="clear" w:color="auto" w:fill="FFFFFF"/>
        </w:rPr>
      </w:pPr>
      <m:oMath>
        <m:sSub>
          <m:sSubPr>
            <m:ctrlPr>
              <w:rPr>
                <w:rStyle w:val="mi"/>
                <w:rFonts w:ascii="Cambria Math" w:eastAsia="微软雅黑" w:hAnsi="Cambria Math"/>
                <w:color w:val="4D4D4D"/>
                <w:sz w:val="30"/>
                <w:szCs w:val="30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i"/>
                <w:rFonts w:ascii="Cambria Math" w:eastAsia="微软雅黑" w:hAnsi="Cambria Math"/>
                <w:color w:val="4D4D4D"/>
                <w:sz w:val="30"/>
                <w:szCs w:val="30"/>
                <w:bdr w:val="none" w:sz="0" w:space="0" w:color="auto" w:frame="1"/>
                <w:shd w:val="clear" w:color="auto" w:fill="FFFFFF"/>
              </w:rPr>
              <m:t>D</m:t>
            </m:r>
          </m:e>
          <m:sub>
            <m:r>
              <w:rPr>
                <w:rStyle w:val="mi"/>
                <w:rFonts w:ascii="Cambria Math" w:eastAsia="微软雅黑" w:hAnsi="Cambria Math"/>
                <w:color w:val="4D4D4D"/>
                <w:sz w:val="30"/>
                <w:szCs w:val="30"/>
                <w:bdr w:val="none" w:sz="0" w:space="0" w:color="auto" w:frame="1"/>
                <w:shd w:val="clear" w:color="auto" w:fill="FFFFFF"/>
              </w:rPr>
              <m:t>KL</m:t>
            </m:r>
          </m:sub>
        </m:sSub>
        <m:r>
          <w:rPr>
            <w:rStyle w:val="mi"/>
            <w:rFonts w:ascii="Cambria Math" w:eastAsia="微软雅黑" w:hAnsi="Cambria Math"/>
            <w:color w:val="4D4D4D"/>
            <w:sz w:val="30"/>
            <w:szCs w:val="30"/>
            <w:bdr w:val="none" w:sz="0" w:space="0" w:color="auto" w:frame="1"/>
            <w:shd w:val="clear" w:color="auto" w:fill="FFFFFF"/>
          </w:rPr>
          <m:t>(p||q)</m:t>
        </m:r>
      </m:oMath>
      <w:r>
        <w:rPr>
          <w:rFonts w:ascii="微软雅黑" w:eastAsia="微软雅黑" w:hAnsi="微软雅黑" w:hint="eastAsia"/>
          <w:color w:val="4D4D4D"/>
          <w:shd w:val="clear" w:color="auto" w:fill="FFFFFF"/>
        </w:rPr>
        <w:t>表示的就是概率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分布q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与概率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分布p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 之间的差异，很显然，散度越小，说明 概率 </w:t>
      </w:r>
      <w:r>
        <w:rPr>
          <w:rStyle w:val="mi"/>
          <w:rFonts w:ascii="MathJax_Math-italic" w:eastAsia="微软雅黑" w:hAnsi="MathJax_Math-italic" w:hint="eastAsia"/>
          <w:color w:val="4D4D4D"/>
          <w:sz w:val="30"/>
          <w:szCs w:val="30"/>
          <w:bdr w:val="none" w:sz="0" w:space="0" w:color="auto" w:frame="1"/>
          <w:shd w:val="clear" w:color="auto" w:fill="FFFFFF"/>
        </w:rPr>
        <w:t>q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与概率 </w:t>
      </w:r>
      <w:r>
        <w:rPr>
          <w:rStyle w:val="mi"/>
          <w:rFonts w:ascii="MathJax_Math-italic" w:eastAsia="微软雅黑" w:hAnsi="MathJax_Math-italic"/>
          <w:color w:val="4D4D4D"/>
          <w:sz w:val="30"/>
          <w:szCs w:val="30"/>
          <w:bdr w:val="none" w:sz="0" w:space="0" w:color="auto" w:frame="1"/>
          <w:shd w:val="clear" w:color="auto" w:fill="FFFFFF"/>
        </w:rPr>
        <w:t>p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 之间越接近，那么估计的概率分布于真实的概率分布也就越接近。</w:t>
      </w:r>
    </w:p>
    <w:p w:rsidR="00715049" w:rsidRPr="00715049" w:rsidRDefault="00715049" w:rsidP="00715049">
      <w:pPr>
        <w:rPr>
          <w:rFonts w:hint="eastAsia"/>
        </w:rPr>
      </w:pPr>
      <w:r>
        <w:rPr>
          <w:noProof/>
        </w:rPr>
        <w:drawing>
          <wp:inline distT="0" distB="0" distL="0" distR="0" wp14:anchorId="3A75893B" wp14:editId="2FDED00E">
            <wp:extent cx="5274310" cy="1791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8D" w:rsidRDefault="00CE578D" w:rsidP="00CE578D">
      <w:pPr>
        <w:pStyle w:val="1"/>
      </w:pPr>
      <w:r>
        <w:rPr>
          <w:rFonts w:hint="eastAsia"/>
        </w:rPr>
        <w:t>概率与统计</w:t>
      </w:r>
    </w:p>
    <w:p w:rsidR="00CE578D" w:rsidRDefault="00CE578D" w:rsidP="00CE578D">
      <w:pPr>
        <w:pStyle w:val="1"/>
      </w:pPr>
      <w:r>
        <w:rPr>
          <w:rFonts w:hint="eastAsia"/>
        </w:rPr>
        <w:t>线性代数</w:t>
      </w:r>
    </w:p>
    <w:p w:rsidR="00CE578D" w:rsidRDefault="00CE578D"/>
    <w:sectPr w:rsidR="00CE57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UwMzYwM7QwMDOxMDZW0lEKTi0uzszPAykwqgUAkvFodywAAAA="/>
  </w:docVars>
  <w:rsids>
    <w:rsidRoot w:val="001B53AA"/>
    <w:rsid w:val="001345AC"/>
    <w:rsid w:val="001B53AA"/>
    <w:rsid w:val="00441C8C"/>
    <w:rsid w:val="00511B18"/>
    <w:rsid w:val="00715049"/>
    <w:rsid w:val="00B40D4C"/>
    <w:rsid w:val="00BB27CF"/>
    <w:rsid w:val="00CE578D"/>
    <w:rsid w:val="00DF4967"/>
    <w:rsid w:val="00E0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5D18E"/>
  <w15:chartTrackingRefBased/>
  <w15:docId w15:val="{522D97F5-0D23-4926-B92C-08465474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57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57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578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57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i">
    <w:name w:val="mi"/>
    <w:basedOn w:val="a0"/>
    <w:rsid w:val="00715049"/>
  </w:style>
  <w:style w:type="character" w:customStyle="1" w:styleId="mo">
    <w:name w:val="mo"/>
    <w:basedOn w:val="a0"/>
    <w:rsid w:val="00715049"/>
  </w:style>
  <w:style w:type="character" w:customStyle="1" w:styleId="mjxassistivemathml">
    <w:name w:val="mjx_assistive_mathml"/>
    <w:basedOn w:val="a0"/>
    <w:rsid w:val="007150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0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2630</TotalTime>
  <Pages>3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3</cp:revision>
  <dcterms:created xsi:type="dcterms:W3CDTF">2019-10-09T02:51:00Z</dcterms:created>
  <dcterms:modified xsi:type="dcterms:W3CDTF">2019-10-23T00:11:00Z</dcterms:modified>
</cp:coreProperties>
</file>