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6B" w:sz="12"/>
              <w:left w:val="single" w:color="0E6B6B" w:sz="12"/>
              <w:bottom w:val="single" w:color="0E6B6B" w:sz="12"/>
              <w:right w:val="single" w:color="0E6B6B" w:sz="12"/>
            </w:tcBorders>
            <w:shd w:fill="1F3864" w:val="clear"/>
            <w:tcMar>
              <w:top w:type="dxa" w:w="360"/>
              <w:left w:type="dxa" w:w="360"/>
              <w:bottom w:type="dxa" w:w="360"/>
              <w:right w:type="dxa" w:w="360"/>
            </w:tcMar>
          </w:tcPr>
          <w:p>
            <w:pPr>
              <w:spacing w:after="160" w:before="0" w:line="276"/>
              <w:jc w:val="center"/>
            </w:pPr>
            <w:r>
              <w:rPr>
                <w:rFonts w:ascii="Arial" w:cs="Arial" w:eastAsia="Arial" w:hAnsi="Arial"/>
                <w:b/>
                <w:bCs/>
                <w:color w:val="FFFFFF"/>
                <w:sz w:val="34"/>
                <w:szCs w:val="34"/>
              </w:rPr>
              <w:t xml:space="preserve">EXTERNAL VIVA — COMPLETE PREPARATION GUIDE</w:t>
            </w:r>
          </w:p>
          <w:p>
            <w:pPr>
              <w:spacing w:after="80" w:before="0" w:line="276"/>
              <w:jc w:val="center"/>
            </w:pPr>
            <w:r>
              <w:rPr>
                <w:rFonts w:ascii="Arial" w:cs="Arial" w:eastAsia="Arial" w:hAnsi="Arial"/>
                <w:b w:val="false"/>
                <w:bCs w:val="false"/>
                <w:color w:val="D5E8F0"/>
                <w:sz w:val="24"/>
                <w:szCs w:val="24"/>
              </w:rPr>
              <w:t xml:space="preserve">Dual Core Edge Computing Framework for Power Factor Correction</w:t>
            </w:r>
          </w:p>
          <w:p>
            <w:pPr>
              <w:spacing w:after="200" w:before="0" w:line="276"/>
              <w:jc w:val="center"/>
            </w:pPr>
            <w:r>
              <w:rPr>
                <w:rFonts w:ascii="Arial" w:cs="Arial" w:eastAsia="Arial" w:hAnsi="Arial"/>
                <w:b w:val="false"/>
                <w:bCs w:val="false"/>
                <w:color w:val="D5E8F0"/>
                <w:sz w:val="24"/>
                <w:szCs w:val="24"/>
              </w:rPr>
              <w:t xml:space="preserve">and Load Demand Management</w:t>
            </w:r>
          </w:p>
          <w:p>
            <w:pPr>
              <w:spacing w:after="80" w:before="0" w:line="276"/>
              <w:jc w:val="center"/>
            </w:pPr>
            <w:r>
              <w:rPr>
                <w:rFonts w:ascii="Arial" w:cs="Arial" w:eastAsia="Arial" w:hAnsi="Arial"/>
                <w:b w:val="false"/>
                <w:bCs w:val="false"/>
                <w:color w:val="AACCDD"/>
                <w:sz w:val="20"/>
                <w:szCs w:val="20"/>
              </w:rPr>
              <w:t xml:space="preserve">Prathyusha Engineering College — Dept. of EEE</w:t>
            </w:r>
          </w:p>
          <w:p>
            <w:pPr>
              <w:spacing w:after="80" w:before="0" w:line="276"/>
              <w:jc w:val="center"/>
            </w:pPr>
            <w:r>
              <w:rPr>
                <w:rFonts w:ascii="Arial" w:cs="Arial" w:eastAsia="Arial" w:hAnsi="Arial"/>
                <w:b w:val="false"/>
                <w:bCs w:val="false"/>
                <w:color w:val="AACCDD"/>
                <w:sz w:val="19"/>
                <w:szCs w:val="19"/>
              </w:rPr>
              <w:t xml:space="preserve">Team: Janaki Raman K (007) | Purushothaman M (014) | Raja Pandi P (016)</w:t>
            </w:r>
          </w:p>
          <w:p>
            <w:pPr>
              <w:spacing w:after="120" w:before="0" w:line="276"/>
              <w:jc w:val="center"/>
            </w:pPr>
            <w:r>
              <w:rPr>
                <w:rFonts w:ascii="Arial" w:cs="Arial" w:eastAsia="Arial" w:hAnsi="Arial"/>
                <w:b w:val="false"/>
                <w:bCs w:val="false"/>
                <w:color w:val="AACCDD"/>
                <w:sz w:val="19"/>
                <w:szCs w:val="19"/>
              </w:rPr>
              <w:t xml:space="preserve">Internal Guide: Dr. Venkataramanan K</w:t>
            </w:r>
          </w:p>
        </w:tc>
      </w:tr>
    </w:tbl>
    <w:p>
      <w:pPr>
        <w:spacing w:after="200" w:before="0" w:line="276"/>
        <w:jc w:val="left"/>
      </w:pPr>
      <w:r>
        <w:rPr>
          <w:rFonts w:ascii="Arial" w:cs="Arial" w:eastAsia="Arial" w:hAnsi="Arial"/>
          <w:b w:val="false"/>
          <w:bCs w:val="false"/>
          <w:color w:val="000000"/>
          <w:sz w:val="18"/>
          <w:szCs w:val="18"/>
        </w:rPr>
        <w:t xml:space="preserve"/>
      </w:r>
    </w:p>
    <w:p>
      <w:pPr>
        <w:spacing w:after="60" w:before="0" w:line="276"/>
        <w:jc w:val="left"/>
      </w:pPr>
      <w:r>
        <w:rPr>
          <w:rFonts w:ascii="Arial" w:cs="Arial" w:eastAsia="Arial" w:hAnsi="Arial"/>
          <w:b/>
          <w:bCs/>
          <w:color w:val="0E6B6B"/>
          <w:sz w:val="22"/>
          <w:szCs w:val="22"/>
        </w:rPr>
        <w:t xml:space="preserve">How to use this guide</w:t>
      </w:r>
    </w:p>
    <w:p>
      <w:pPr>
        <w:spacing w:after="200" w:before="0" w:line="276"/>
        <w:jc w:val="left"/>
      </w:pPr>
      <w:r>
        <w:rPr>
          <w:rFonts w:ascii="Arial" w:cs="Arial" w:eastAsia="Arial" w:hAnsi="Arial"/>
          <w:b w:val="false"/>
          <w:bCs w:val="false"/>
          <w:color w:val="000000"/>
          <w:sz w:val="20"/>
          <w:szCs w:val="20"/>
        </w:rPr>
        <w:t xml:space="preserve">This document is structured as a complete external viva preparation kit. Each section covers a key topic — read the bold answer first, then the detail below it. The Q&amp;A boxes replicate the exact questions your external examiner is most likely to ask. All numerical values, component choices, and design decisions are justified here so you can answer confidently without referencing the PPT.</w:t>
      </w:r>
    </w:p>
    <w:p>
      <w:pPr>
        <w:pStyle w:val="Heading1"/>
        <w:shd w:fill="1F3864" w:val="clear"/>
        <w:spacing w:after="160" w:before="300"/>
        <w:jc w:val="left"/>
      </w:pPr>
      <w:r>
        <w:rPr>
          <w:rFonts w:ascii="Arial" w:cs="Arial" w:eastAsia="Arial" w:hAnsi="Arial"/>
          <w:b/>
          <w:bCs/>
          <w:color w:val="FFFFFF"/>
          <w:sz w:val="32"/>
          <w:szCs w:val="32"/>
        </w:rPr>
        <w:t xml:space="preserve">SECTION 1 — PROJECT OVERVIEW &amp; PROBLEM STATEMENT</w:t>
      </w:r>
    </w:p>
    <w:p>
      <w:pPr>
        <w:spacing w:after="60" w:before="0" w:line="276"/>
        <w:jc w:val="left"/>
      </w:pPr>
      <w:r>
        <w:rPr>
          <w:rFonts w:ascii="Arial" w:cs="Arial" w:eastAsia="Arial" w:hAnsi="Arial"/>
          <w:b w:val="false"/>
          <w:bCs w:val="false"/>
          <w:color w:val="000000"/>
          <w:sz w:val="18"/>
          <w:szCs w:val="18"/>
        </w:rPr>
        <w:t xml:space="preserve"/>
      </w:r>
    </w:p>
    <w:p>
      <w:pPr>
        <w:spacing w:after="80" w:before="200"/>
      </w:pPr>
      <w:r>
        <w:rPr>
          <w:rFonts w:ascii="Arial" w:cs="Arial" w:eastAsia="Arial" w:hAnsi="Arial"/>
          <w:b/>
          <w:bCs/>
          <w:color w:val="0E6B6B"/>
          <w:sz w:val="22"/>
          <w:szCs w:val="22"/>
        </w:rPr>
        <w:t xml:space="preserve">What the project is — one-line answer</w:t>
      </w:r>
    </w:p>
    <w:p>
      <w:pPr>
        <w:spacing w:after="140" w:before="0" w:line="276"/>
        <w:jc w:val="left"/>
      </w:pPr>
      <w:r>
        <w:rPr>
          <w:rFonts w:ascii="Arial" w:cs="Arial" w:eastAsia="Arial" w:hAnsi="Arial"/>
          <w:b w:val="false"/>
          <w:bCs w:val="false"/>
          <w:color w:val="000000"/>
          <w:sz w:val="20"/>
          <w:szCs w:val="20"/>
        </w:rPr>
        <w:t xml:space="preserve">A real-time IoT edge-computing system running on a dual-core ESP32 that automatically corrects power factor to ≥0.98, manages load demand from three prioritised sources (AC mains → Solar → Wind), and uploads all data to Firebase for tiered Admin/User web access.</w:t>
      </w:r>
    </w:p>
    <w:p>
      <w:pPr>
        <w:pStyle w:val="Heading2"/>
        <w:pBdr>
          <w:bottom w:val="single" w:color="0E6B6B" w:sz="4"/>
        </w:pBdr>
        <w:spacing w:after="120" w:before="260"/>
      </w:pPr>
      <w:r>
        <w:rPr>
          <w:rFonts w:ascii="Arial" w:cs="Arial" w:eastAsia="Arial" w:hAnsi="Arial"/>
          <w:b/>
          <w:bCs/>
          <w:color w:val="1F3864"/>
          <w:sz w:val="26"/>
          <w:szCs w:val="26"/>
        </w:rPr>
        <w:t xml:space="preserve">Core Problem Statement</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Industrial and domestic loads (induction motors, AC equipment) consume reactive power, causing power factor to drop below 0.85.</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Low PF increases apparent power (kVA), leading to utility penalty charges even when actual real power (kW) consumed is normal.</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Traditional APFC (Automatic Power Factor Correction) systems use fixed-step capacitor switching — they cannot adapt in real time to non-linear or rapidly varying loads.</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There is no integrated solution that simultaneously handles PF correction, multi-source renewable failover, and cloud-based monitoring in a single low-cost edge device.</w:t>
      </w:r>
    </w:p>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is the main problem your project solves?</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Traditional APFC systems use fixed relay timers or simple threshold comparisons to switch capacitor banks. They overshoot (leading PF), cause resonance, and cannot predict load changes. Our system uses a lightweight Multi-Layer Perceptron (MLP) Neural Network running on ESP32 Core 0 at a 200 µs cycle to continuously map real power P, reactive power Q, and voltage V to the exact capacitor bank combination needed — achieving ≥0.98 PF with zero overshoot. Simultaneously, Core 1 manages renewable source priority and Firebase IoT telemetry independently.</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Why is power factor correction economically important?</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In Tamil Nadu, TANGEDCO imposes a penalty surcharge if the average monthly PF falls below 0.85 — typically 1% surcharge per 0.01 drop below 0.90. A factory drawing 100 kVA at PF 0.80 pays for 80 kW of real work but is billed on 100 kVA apparent demand. Raising PF to 0.98 reduces apparent demand to ~81.6 kVA, cutting kVA-based demand charges by ~18% and eliminating penalty surcharges entirely.</w:t>
            </w:r>
          </w:p>
        </w:tc>
      </w:tr>
    </w:tbl>
    <w:p>
      <w:pPr>
        <w:spacing w:after="80" w:before="0" w:line="276"/>
        <w:jc w:val="left"/>
      </w:pPr>
      <w:r>
        <w:rPr>
          <w:rFonts w:ascii="Arial" w:cs="Arial" w:eastAsia="Arial" w:hAnsi="Arial"/>
          <w:b w:val="false"/>
          <w:bCs w:val="false"/>
          <w:color w:val="000000"/>
          <w:sz w:val="18"/>
          <w:szCs w:val="18"/>
        </w:rPr>
        <w:t xml:space="preserve"/>
      </w:r>
    </w:p>
    <w:p>
      <w:pPr>
        <w:pStyle w:val="Heading1"/>
        <w:shd w:fill="1F3864" w:val="clear"/>
        <w:spacing w:after="160" w:before="300"/>
        <w:jc w:val="left"/>
      </w:pPr>
      <w:r>
        <w:rPr>
          <w:rFonts w:ascii="Arial" w:cs="Arial" w:eastAsia="Arial" w:hAnsi="Arial"/>
          <w:b/>
          <w:bCs/>
          <w:color w:val="FFFFFF"/>
          <w:sz w:val="32"/>
          <w:szCs w:val="32"/>
        </w:rPr>
        <w:t xml:space="preserve">SECTION 2 — HARDWARE COMPONENTS &amp; EXACT VALUES</w:t>
      </w:r>
    </w:p>
    <w:p>
      <w:pPr>
        <w:spacing w:after="60" w:before="0" w:line="276"/>
        <w:jc w:val="left"/>
      </w:pPr>
      <w:r>
        <w:rPr>
          <w:rFonts w:ascii="Arial" w:cs="Arial" w:eastAsia="Arial" w:hAnsi="Arial"/>
          <w:b w:val="false"/>
          <w:bCs w:val="false"/>
          <w:color w:val="000000"/>
          <w:sz w:val="18"/>
          <w:szCs w:val="18"/>
        </w:rPr>
        <w:t xml:space="preserve"/>
      </w:r>
    </w:p>
    <w:p>
      <w:pPr>
        <w:pStyle w:val="Heading2"/>
        <w:pBdr>
          <w:bottom w:val="single" w:color="0E6B6B" w:sz="4"/>
        </w:pBdr>
        <w:spacing w:after="120" w:before="260"/>
      </w:pPr>
      <w:r>
        <w:rPr>
          <w:rFonts w:ascii="Arial" w:cs="Arial" w:eastAsia="Arial" w:hAnsi="Arial"/>
          <w:b/>
          <w:bCs/>
          <w:color w:val="1F3864"/>
          <w:sz w:val="26"/>
          <w:szCs w:val="26"/>
        </w:rPr>
        <w:t xml:space="preserve">Complete Hardware List with Specifications</w:t>
      </w:r>
    </w:p>
    <w:p>
      <w:pPr>
        <w:spacing w:after="4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200"/>
        <w:gridCol w:w="560"/>
      </w:tblGrid>
      <w:tr>
        <w:tc>
          <w:tcPr>
            <w:tcW w:type="dxa" w:w="3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Component</w:t>
            </w:r>
          </w:p>
        </w:tc>
        <w:tc>
          <w:tcPr>
            <w:tcW w:type="dxa" w:w="2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Model / Spec</w:t>
            </w:r>
          </w:p>
        </w:tc>
        <w:tc>
          <w:tcPr>
            <w:tcW w:type="dxa" w:w="3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Role in System</w:t>
            </w:r>
          </w:p>
        </w:tc>
        <w:tc>
          <w:tcPr>
            <w:tcW w:type="dxa" w:w="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Qty</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ESP32 DEVKIT V1</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Dual-core Xtensa LX6, 240 MHz, 12-bit ADC, Wi-Fi 802.11b/g/n</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Central brain — Core 0: PF control, Core 1: IoT + source mgmt</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AC Voltage Sensor</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ZMPT101B, 250V AC, 1000V isolation</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Measures 230V RMS for mains detection and PF calculation</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Current Sensor 1</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ACS712-20A, ±20A, 100mV/A sensitivity</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Measures total AC mains current (GPIO 35)</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Current Sensor 2</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ACS712-20A, ±20A</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Measures combined motor load current (GPIO 32)</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Current Sensor 3</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ACS712-20A, ±20A</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Measures combined Solar+Wind generation current (GPIO 33)</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4-Channel Relay</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5V coil, 250VAC/10A contacts, active-LOW</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CH1: Cap1, CH2: Cap2, CH3: Solar switch, CH4: Wind switch</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Motor Relay Module</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2-channel, 5V coil, 250VAC/10A</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Load 1 enable (GPIO 12), Load 2 enable (GPIO 13)</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Capacitor Bank 1</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10 µF, 440V AC, Class B capacitor</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Reactive power compensation Stage 1</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Capacitor Bank 2</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10 µF, 440V AC, Class B capacitor</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Reactive power compensation Stage 2</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AC-DC Adapter</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230V→12V DC, 2A</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System DC power from AC mains</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Solar Adapter</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12V DC, 1–2A (simulated)</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Simulated solar source for prototype</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Wind Adapter</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12V DC, 1–2A (simulated)</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Simulated wind source for prototype</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LM7805</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5V linear regulator, TO-220</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12V bus → 5V rail for relay boards and LCD</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AMS1117-3.3</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3.3V LDO regulator</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5V → 3.3V for ESP32 and sensors</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16x2 LCD</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HD44780 + PCF8574 I2C backpack, 0x27</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System status display (5 rotating pages)</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MCB</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6A, single-pole, 230V AC</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Mains overcurrent protection</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Diodes D1/D2/D3</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1N5408, 3A, 1000V PRV</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Diode OR-bus for 12V common power rail</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3</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Motor Load 1</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24V DC fan/motor</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Primary load (demand simulation)</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Motor Load 2</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24V DC fan/motor</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Secondary load (demand simulation)</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Protection Resistors</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330Ω (GPIO→relay), 100Ω (ADC series), 4.7kΩ (I2C pull-up)</w:t>
            </w:r>
          </w:p>
        </w:tc>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GPIO protection and signal conditioning</w:t>
            </w:r>
          </w:p>
        </w:tc>
        <w:tc>
          <w:tcPr>
            <w:tcW w:type="dxa" w:w="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~12</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Zener Diodes</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BZX55C3V3, 3.3V</w:t>
            </w:r>
          </w:p>
        </w:tc>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ADC overvoltage clamp on GPIO 34/35/32/33</w:t>
            </w:r>
          </w:p>
        </w:tc>
        <w:tc>
          <w:tcPr>
            <w:tcW w:type="dxa" w:w="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4</w:t>
            </w:r>
          </w:p>
        </w:tc>
      </w:tr>
    </w:tbl>
    <w:p>
      <w:pPr>
        <w:spacing w:after="80" w:before="0" w:line="276"/>
        <w:jc w:val="left"/>
      </w:pPr>
      <w:r>
        <w:rPr>
          <w:rFonts w:ascii="Arial" w:cs="Arial" w:eastAsia="Arial" w:hAnsi="Arial"/>
          <w:b w:val="false"/>
          <w:bCs w:val="false"/>
          <w:color w:val="000000"/>
          <w:sz w:val="18"/>
          <w:szCs w:val="18"/>
        </w:rPr>
        <w:t xml:space="preserve"/>
      </w:r>
    </w:p>
    <w:p>
      <w:pPr>
        <w:pStyle w:val="Heading2"/>
        <w:pBdr>
          <w:bottom w:val="single" w:color="0E6B6B" w:sz="4"/>
        </w:pBdr>
        <w:spacing w:after="120" w:before="260"/>
      </w:pPr>
      <w:r>
        <w:rPr>
          <w:rFonts w:ascii="Arial" w:cs="Arial" w:eastAsia="Arial" w:hAnsi="Arial"/>
          <w:b/>
          <w:bCs/>
          <w:color w:val="1F3864"/>
          <w:sz w:val="26"/>
          <w:szCs w:val="26"/>
        </w:rPr>
        <w:t xml:space="preserve">Critical Numerical Values Examiners Will Ask</w:t>
      </w:r>
    </w:p>
    <w:p>
      <w:pPr>
        <w:spacing w:after="4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Parameter</w:t>
            </w:r>
          </w:p>
        </w:tc>
        <w:tc>
          <w:tcPr>
            <w:tcW w:type="dxa" w:w="1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Value</w:t>
            </w:r>
          </w:p>
        </w:tc>
        <w:tc>
          <w:tcPr>
            <w:tcW w:type="dxa" w:w="47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Why This Value</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ACS712 sensitivity (20A model)</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100 mV/A</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Factory spec — 1A → 100mV output change on ACS712-20A</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ACS712 zero-current offset</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~1.65V (≈2048 ADC counts)</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Sensor output = VCC/2 = 3.3/2 when I = 0A</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ADC resolution</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12-bit = 4096 steps</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ESP32 native ADC; gives 0.8 mV/step at 3.3V full scale</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Current measurement resolution</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0.8 mV ÷ 100 mV/A = ~8 mA</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Finest detectable current change at 12-bit ADC</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ZMPT101B secondary voltage</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~1.2V RMS when primary = 230V AC</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Scale factor = 230 / 1.2 = 191.7 (tuned per unit)</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AC mains failure threshold</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&lt; 50V RMS on ZMPT reading</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Safe headroom above noise floor, well below 230V nominal</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PF correction — Cap 1 ON</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PF drops below 0.95</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Hysteresis band prevents rapid switching</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PF correction — Cap 1 OFF</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PF rises above 0.98</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3% hysteresis band (0.95–0.98)</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PF correction — Cap 2 ON</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PF still below 0.90 after Cap 1</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Step 2 — adds 10 µF more</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PF correction — Cap 2 OFF</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PF rises above 0.95</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2nd stage hysteresis</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Total capacitance available</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20 µF (10+10 µF)</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Scales reactive power compensation in two binary steps</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Source switchover debounce</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4 × 500ms = 2 seconds</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Prevents false failover on momentary voltage flicker</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Solar relay threshold (sim.)</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Gen current ≥ 0.15A</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Confirms source is actually delivering power</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Control loop cycle time</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500 ms (hardware prototype)</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Sufficient for AC load dynamics; simulation runs at 200 µs</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Firebase upload interval</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10 seconds</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Balances data freshness vs. API rate limits</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LCD page rotation interval</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2.5 seconds</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Readable by observer without scrolling</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Simulation sample time</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0.0002 s (200 µs)</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Required for 50 Hz grid — captures 100+ samples per cycle</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Load step tested in sim.</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4 kW to 15 kW</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Represents light-to-heavy industrial load transition</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LM7805 input voltage</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11.3V (12V − 0.7V diode drop)</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Above minimum 7V input requirement</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Motor load voltage</w:t>
            </w:r>
          </w:p>
        </w:tc>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24V DC</w:t>
            </w:r>
          </w:p>
        </w:tc>
        <w:tc>
          <w:tcPr>
            <w:tcW w:type="dxa" w:w="47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Prototype uses 24V DC motors as load simulation</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Diode drop (1N5408)</w:t>
            </w:r>
          </w:p>
        </w:tc>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~0.7V at 1A</w:t>
            </w:r>
          </w:p>
        </w:tc>
        <w:tc>
          <w:tcPr>
            <w:tcW w:type="dxa" w:w="47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Silicon diode; Schottky (SB360) gives ~0.3V if needed</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is the resolution of your current measurement?</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The ACS712-20A produces 100 mV per Ampere. Our ESP32 ADC is 12-bit, giving 4096 steps over 3.3V — that is 0.8 mV per step. So the finest current change we can detect is 0.8 mV ÷ 100 mV/A = approximately 8 mA. The PPT states this as 0.8 mV/unit resolution, which refers to the 0.8 mV ADC step.</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Why did you choose 10 µF capacitors for PF correction?</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For our prototype operating at 230V, 50Hz with motor loads in the range of 50–200W, the reactive power to be compensated is Q = V²×ω×C = 230² × 314 × 10×10⁻⁶ ≈ 166 VAR per bank. Two banks give up to 332 VAR of correction, which is sufficient for the prototype load range. In an industrial scale-up, higher capacitance or additional stages would be added. The Class B 440V AC rating gives a 2× voltage safety margin over the 230V supply.</w:t>
            </w:r>
          </w:p>
        </w:tc>
      </w:tr>
    </w:tbl>
    <w:p>
      <w:pPr>
        <w:spacing w:after="80" w:before="0" w:line="276"/>
        <w:jc w:val="left"/>
      </w:pPr>
      <w:r>
        <w:rPr>
          <w:rFonts w:ascii="Arial" w:cs="Arial" w:eastAsia="Arial" w:hAnsi="Arial"/>
          <w:b w:val="false"/>
          <w:bCs w:val="false"/>
          <w:color w:val="000000"/>
          <w:sz w:val="18"/>
          <w:szCs w:val="18"/>
        </w:rPr>
        <w:t xml:space="preserve"/>
      </w:r>
    </w:p>
    <w:p>
      <w:pPr>
        <w:pStyle w:val="Heading1"/>
        <w:shd w:fill="1F3864" w:val="clear"/>
        <w:spacing w:after="160" w:before="300"/>
        <w:jc w:val="left"/>
      </w:pPr>
      <w:r>
        <w:rPr>
          <w:rFonts w:ascii="Arial" w:cs="Arial" w:eastAsia="Arial" w:hAnsi="Arial"/>
          <w:b/>
          <w:bCs/>
          <w:color w:val="FFFFFF"/>
          <w:sz w:val="32"/>
          <w:szCs w:val="32"/>
        </w:rPr>
        <w:t xml:space="preserve">SECTION 3 — NEURAL NETWORK: EVERYTHING THE EXAMINER WILL ASK</w:t>
      </w:r>
    </w:p>
    <w:p>
      <w:pPr>
        <w:spacing w:after="60" w:before="0" w:line="276"/>
        <w:jc w:val="left"/>
      </w:pPr>
      <w:r>
        <w:rPr>
          <w:rFonts w:ascii="Arial" w:cs="Arial" w:eastAsia="Arial" w:hAnsi="Arial"/>
          <w:b w:val="false"/>
          <w:bCs w:val="false"/>
          <w:color w:val="000000"/>
          <w:sz w:val="18"/>
          <w:szCs w:val="18"/>
        </w:rPr>
        <w:t xml:space="preserve"/>
      </w:r>
    </w:p>
    <w:p>
      <w:pPr>
        <w:pStyle w:val="Heading2"/>
        <w:pBdr>
          <w:bottom w:val="single" w:color="0E6B6B" w:sz="4"/>
        </w:pBdr>
        <w:spacing w:after="120" w:before="260"/>
      </w:pPr>
      <w:r>
        <w:rPr>
          <w:rFonts w:ascii="Arial" w:cs="Arial" w:eastAsia="Arial" w:hAnsi="Arial"/>
          <w:b/>
          <w:bCs/>
          <w:color w:val="1F3864"/>
          <w:sz w:val="26"/>
          <w:szCs w:val="26"/>
        </w:rPr>
        <w:t xml:space="preserve">Neural Network Architecture</w:t>
      </w:r>
    </w:p>
    <w:p>
      <w:pPr>
        <w:spacing w:after="120" w:before="0" w:line="276"/>
        <w:jc w:val="left"/>
      </w:pPr>
      <w:r>
        <w:rPr>
          <w:rFonts w:ascii="Arial" w:cs="Arial" w:eastAsia="Arial" w:hAnsi="Arial"/>
          <w:b w:val="false"/>
          <w:bCs w:val="false"/>
          <w:color w:val="000000"/>
          <w:sz w:val="20"/>
          <w:szCs w:val="20"/>
        </w:rPr>
        <w:t xml:space="preserve">The network is a Function Fitting Neural Network (FFNN), which is a specific type of Multi-Layer Perceptron (MLP) trained using Supervised Learning. The term 'Function Fitting' is used in MATLAB's Neural Network Toolbox to describe an MLP that learns to fit a continuous function from input to output — exactly what PF correction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NN Property</w:t>
            </w:r>
          </w:p>
        </w:tc>
        <w:tc>
          <w:tcPr>
            <w:tcW w:type="dxa" w:w="65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Value / Description</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Architecture type</w:t>
            </w:r>
          </w:p>
        </w:tc>
        <w:tc>
          <w:tcPr>
            <w:tcW w:type="dxa" w:w="6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Multi-Layer Perceptron (MLP) — Function Fitting Neural Network</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Training paradigm</w:t>
            </w:r>
          </w:p>
        </w:tc>
        <w:tc>
          <w:tcPr>
            <w:tcW w:type="dxa" w:w="6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Supervised Learning</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Inputs (3 neurons)</w:t>
            </w:r>
          </w:p>
        </w:tc>
        <w:tc>
          <w:tcPr>
            <w:tcW w:type="dxa" w:w="6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 (active power in W), Q (reactive power in VAR), V (terminal voltage in V)</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Output (1 neuron)</w:t>
            </w:r>
          </w:p>
        </w:tc>
        <w:tc>
          <w:tcPr>
            <w:tcW w:type="dxa" w:w="6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Reactive power compensation required (QCOMP in VAR) → maps to capacitor bank state</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Hidden layers</w:t>
            </w:r>
          </w:p>
        </w:tc>
        <w:tc>
          <w:tcPr>
            <w:tcW w:type="dxa" w:w="6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 hidden layer (typical: 10–20 neurons, trained in MATLAB)</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Activation function</w:t>
            </w:r>
          </w:p>
        </w:tc>
        <w:tc>
          <w:tcPr>
            <w:tcW w:type="dxa" w:w="6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Sigmoid (tansig) in hidden layer, linear (purelin) in output layer</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Training algorithm</w:t>
            </w:r>
          </w:p>
        </w:tc>
        <w:tc>
          <w:tcPr>
            <w:tcW w:type="dxa" w:w="6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Levenberg-Marquardt backpropagation (trainlm) — fastest for small networks</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Training dataset</w:t>
            </w:r>
          </w:p>
        </w:tc>
        <w:tc>
          <w:tcPr>
            <w:tcW w:type="dxa" w:w="6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Generated from Simulink simulation: varying loads 4 kW–15 kW at different PF values</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Target PF</w:t>
            </w:r>
          </w:p>
        </w:tc>
        <w:tc>
          <w:tcPr>
            <w:tcW w:type="dxa" w:w="6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1.0 (unity) — network learns to output exactly the Q needed to reach PF=1</w:t>
            </w:r>
          </w:p>
        </w:tc>
      </w:tr>
      <w:tr>
        <w:tc>
          <w:tcPr>
            <w:tcW w:type="dxa" w:w="2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Deployment</w:t>
            </w:r>
          </w:p>
        </w:tc>
        <w:tc>
          <w:tcPr>
            <w:tcW w:type="dxa" w:w="65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Trained weights exported as C arrays and embedded in ESP32 firmware</w:t>
            </w:r>
          </w:p>
        </w:tc>
      </w:tr>
      <w:tr>
        <w:tc>
          <w:tcPr>
            <w:tcW w:type="dxa" w:w="2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Inference time</w:t>
            </w:r>
          </w:p>
        </w:tc>
        <w:tc>
          <w:tcPr>
            <w:tcW w:type="dxa" w:w="65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&lt; 1 ms on ESP32 at 240 MHz — well within 200 µs cycle target</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Why did you choose a Neural Network over a PID controller or rule-based system?</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Three reasons: (1) Non-linearity — real industrial loads are non-linear (variable frequency drives, switching power supplies, arc furnaces). A PID controller linearises around one operating point and performs poorly across the full load range. The NN learns the complete non-linear mapping. (2) Speed — rule-based systems require lookup tables or sequential IF-ELSE logic. For 200 µs cycle times with 3 inputs, rule tables become exponentially large. The NN evaluates in a single matrix multiply, taking &lt; 1 ms. (3) Adaptability — the NN generalises across unseen load combinations that were never in the training data, whereas hard-coded thresholds fail on novel load patterns.</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Why Function Fitting Neural Network specifically? Why not CNN, RNN, or LSTM?</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CNNs are for spatial patterns (images, grids) — irrelevant for scalar P, Q, V inputs. RNNs and LSTMs are for temporal sequences and require storing state across time steps, which adds memory overhead unsuitable for a microcontroller. Our problem is purely a static function approximation: given (P, Q, V) at this instant, compute QCOMP. A feedforward MLP trained as a function fitter is the minimal correct architecture. It also exports to a simple weight matrix that any C program can evaluate — critical for ESP32 deployment without a deep learning framework.</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Why Supervised Learning and not Reinforcement Learning?</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The PPT mentions Reinforcement Learning in the proposed system features, but at the hardware prototype level, Supervised Learning is used because: (1) We have a clearly defined ground truth — for any P, Q, V combination, the exact QCOMP needed for unity PF is analytically calculable using Q = P×tan(cos⁻¹(PF_current)) - P×tan(cos⁻¹(1.0)). This gives us perfect training labels. (2) RL requires an environment reward signal and thousands of exploration episodes — impractical in real hardware. (3) RL is mentioned as a future enhancement for demand response (load shifting), not for the PF correction loop.</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How was the Neural Network trained? Walk me through the process.</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Step 1: A Simulink model of a three-phase grid with RLC loads was built. Step 2: Load was varied from 4 kW to 15 kW in steps, at different power factors (0.7 to 0.95 lagging). Step 3: For each operating point, the values of P, Q, V were recorded as inputs, and the analytically calculated QCOMP for unity PF was the target output. Step 4: The dataset was fed into MATLAB's Neural Network Toolbox using the 'nftool' Function Fitting workflow. Step 5: The network was trained using Levenberg-Marquardt until MSE &lt; 10⁻⁴. Step 6: The trained weights and bias matrices were exported to C code and embedded into the ESP32 firmware. In inference, the ESP32 does: hidden = sigmoid(W1×[P,Q,V]ᵀ + b1), output = W2×hidden + b2.</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How does the Neural Network output map to relay switching?</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The NN output is QCOMP (VAR needed). The firmware uses a decision tree: if QCOMP &lt; 0 → no cap needed (PF already good or leading); if 0 &lt; QCOMP &lt; 170 VAR → switch on Cap Bank 1 (10 µF, ~166 VAR); if QCOMP ≥ 170 VAR → switch on both Cap Banks (20 µF, ~332 VAR). This maps continuously valued NN output to the 2-bit binary relay state. Hysteresis (3% PF band) is then applied at the relay level to prevent chatter.</w:t>
            </w:r>
          </w:p>
        </w:tc>
      </w:tr>
    </w:tbl>
    <w:p>
      <w:pPr>
        <w:spacing w:after="80" w:before="0" w:line="276"/>
        <w:jc w:val="left"/>
      </w:pPr>
      <w:r>
        <w:rPr>
          <w:rFonts w:ascii="Arial" w:cs="Arial" w:eastAsia="Arial" w:hAnsi="Arial"/>
          <w:b w:val="false"/>
          <w:bCs w:val="false"/>
          <w:color w:val="000000"/>
          <w:sz w:val="18"/>
          <w:szCs w:val="18"/>
        </w:rPr>
        <w:t xml:space="preserve"/>
      </w:r>
    </w:p>
    <w:p>
      <w:pPr>
        <w:pStyle w:val="Heading1"/>
        <w:shd w:fill="1F3864" w:val="clear"/>
        <w:spacing w:after="160" w:before="300"/>
        <w:jc w:val="left"/>
      </w:pPr>
      <w:r>
        <w:rPr>
          <w:rFonts w:ascii="Arial" w:cs="Arial" w:eastAsia="Arial" w:hAnsi="Arial"/>
          <w:b/>
          <w:bCs/>
          <w:color w:val="FFFFFF"/>
          <w:sz w:val="32"/>
          <w:szCs w:val="32"/>
        </w:rPr>
        <w:t xml:space="preserve">SECTION 4 — DUAL-CORE ARCHITECTURE</w:t>
      </w:r>
    </w:p>
    <w:p>
      <w:pPr>
        <w:spacing w:after="6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
            </w:r>
          </w:p>
        </w:tc>
        <w:tc>
          <w:tcPr>
            <w:tcW w:type="dxa" w:w="37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Core 0 (APP_CPU)</w:t>
            </w:r>
          </w:p>
        </w:tc>
        <w:tc>
          <w:tcPr>
            <w:tcW w:type="dxa" w:w="37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Core 1 (PRO_CPU)</w:t>
            </w:r>
          </w:p>
        </w:tc>
      </w:tr>
      <w:tr>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Primary task</w:t>
            </w:r>
          </w:p>
        </w:tc>
        <w:tc>
          <w:tcPr>
            <w:tcW w:type="dxa" w:w="37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Power Factor Correction</w:t>
            </w:r>
          </w:p>
        </w:tc>
        <w:tc>
          <w:tcPr>
            <w:tcW w:type="dxa" w:w="37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Source Management + IoT</w:t>
            </w:r>
          </w:p>
        </w:tc>
      </w:tr>
      <w:tr>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Runs</w:t>
            </w:r>
          </w:p>
        </w:tc>
        <w:tc>
          <w:tcPr>
            <w:tcW w:type="dxa" w:w="37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controlTask() — FreeRTOS task</w:t>
            </w:r>
          </w:p>
        </w:tc>
        <w:tc>
          <w:tcPr>
            <w:tcW w:type="dxa" w:w="37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displayTask() — FreeRTOS task</w:t>
            </w:r>
          </w:p>
        </w:tc>
      </w:tr>
      <w:tr>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Cycle time</w:t>
            </w:r>
          </w:p>
        </w:tc>
        <w:tc>
          <w:tcPr>
            <w:tcW w:type="dxa" w:w="37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500 ms (prototype); 200 µs (simulation target)</w:t>
            </w:r>
          </w:p>
        </w:tc>
        <w:tc>
          <w:tcPr>
            <w:tcW w:type="dxa" w:w="37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100 ms polling; 10 s Firebase upload</w:t>
            </w:r>
          </w:p>
        </w:tc>
      </w:tr>
      <w:tr>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Operations</w:t>
            </w:r>
          </w:p>
        </w:tc>
        <w:tc>
          <w:tcPr>
            <w:tcW w:type="dxa" w:w="37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Read ZMPT + ACS712 → compute PF → NN inference → relay switching → cap banks</w:t>
            </w:r>
          </w:p>
        </w:tc>
        <w:tc>
          <w:tcPr>
            <w:tcW w:type="dxa" w:w="37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Read shared state → LCD update → Firebase JSON push → WiFi management</w:t>
            </w:r>
          </w:p>
        </w:tc>
      </w:tr>
      <w:tr>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Priority</w:t>
            </w:r>
          </w:p>
        </w:tc>
        <w:tc>
          <w:tcPr>
            <w:tcW w:type="dxa" w:w="37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 (higher)</w:t>
            </w:r>
          </w:p>
        </w:tc>
        <w:tc>
          <w:tcPr>
            <w:tcW w:type="dxa" w:w="37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 (lower)</w:t>
            </w:r>
          </w:p>
        </w:tc>
      </w:tr>
      <w:tr>
        <w:tc>
          <w:tcPr>
            <w:tcW w:type="dxa" w:w="18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Data sharing</w:t>
            </w:r>
          </w:p>
        </w:tc>
        <w:tc>
          <w:tcPr>
            <w:tcW w:type="dxa" w:w="37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Writes to volatile globals</w:t>
            </w:r>
          </w:p>
        </w:tc>
        <w:tc>
          <w:tcPr>
            <w:tcW w:type="dxa" w:w="37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Reads volatile globals via mutex</w:t>
            </w:r>
          </w:p>
        </w:tc>
      </w:tr>
      <w:tr>
        <w:tc>
          <w:tcPr>
            <w:tcW w:type="dxa" w:w="18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Why separated</w:t>
            </w:r>
          </w:p>
        </w:tc>
        <w:tc>
          <w:tcPr>
            <w:tcW w:type="dxa" w:w="37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Time-critical control must not be delayed by network I/O</w:t>
            </w:r>
          </w:p>
        </w:tc>
        <w:tc>
          <w:tcPr>
            <w:tcW w:type="dxa" w:w="37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WiFi TX can stall for 100s of ms — would cause PF correction gaps if on same core</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Why did you choose ESP32 over Arduino Uno or Raspberry Pi?</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Arduino Uno: 16 MHz single core, 10-bit ADC. Cannot run NN inference and relay control simultaneously, and 10-bit ADC gives only 1024 steps — too coarse for 8 mA current resolution. Raspberry Pi: Quad-core 1.5 GHz, capable, but requires a full Linux OS (2–5 second boot time), consumes ~3W, costs ~3×more, and has NO built-in ADC at all — external ADC IC needed, adding latency. ESP32: 240 MHz dual-core, 12-bit ADC built-in, integrated WiFi, ~80mA power, &lt;₹500, boots in 300 ms. It delivers Raspberry Pi-class computation with Arduino-class hardware simplicity and power consumption.</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is a mutex and why do you use one?</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A mutex (mutual exclusion semaphore) is an RTOS synchronisation primitive. Core 0 writes sensor readings and system state to shared global variables; Core 1 reads them for display and upload. Without a mutex, Core 1 could read a variable mid-write — e.g., Core 0 writes the high byte of gVrms but hasn't written the low byte yet, and Core 1 reads a corrupted value. The mutex ensures Core 1 waits until Core 0 finishes an atomic state update before reading. In code: xSemaphoreTake(dataMutex, 100ms timeout) → read/write → xSemaphoreGive().</w:t>
            </w:r>
          </w:p>
        </w:tc>
      </w:tr>
    </w:tbl>
    <w:p>
      <w:pPr>
        <w:spacing w:after="80" w:before="0" w:line="276"/>
        <w:jc w:val="left"/>
      </w:pPr>
      <w:r>
        <w:rPr>
          <w:rFonts w:ascii="Arial" w:cs="Arial" w:eastAsia="Arial" w:hAnsi="Arial"/>
          <w:b w:val="false"/>
          <w:bCs w:val="false"/>
          <w:color w:val="000000"/>
          <w:sz w:val="18"/>
          <w:szCs w:val="18"/>
        </w:rPr>
        <w:t xml:space="preserve"/>
      </w:r>
    </w:p>
    <w:p>
      <w:pPr>
        <w:pStyle w:val="Heading1"/>
        <w:shd w:fill="1F3864" w:val="clear"/>
        <w:spacing w:after="160" w:before="300"/>
        <w:jc w:val="left"/>
      </w:pPr>
      <w:r>
        <w:rPr>
          <w:rFonts w:ascii="Arial" w:cs="Arial" w:eastAsia="Arial" w:hAnsi="Arial"/>
          <w:b/>
          <w:bCs/>
          <w:color w:val="FFFFFF"/>
          <w:sz w:val="32"/>
          <w:szCs w:val="32"/>
        </w:rPr>
        <w:t xml:space="preserve">SECTION 5 — SOURCE PRIORITY &amp; RENEWABLE INTEGRATION</w:t>
      </w:r>
    </w:p>
    <w:p>
      <w:pPr>
        <w:spacing w:after="6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2460"/>
        <w:gridCol w:w="2000"/>
      </w:tblGrid>
      <w:tr>
        <w:tc>
          <w:tcPr>
            <w:tcW w:type="dxa" w:w="9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Priority</w:t>
            </w:r>
          </w:p>
        </w:tc>
        <w:tc>
          <w:tcPr>
            <w:tcW w:type="dxa" w:w="16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Source</w:t>
            </w:r>
          </w:p>
        </w:tc>
        <w:tc>
          <w:tcPr>
            <w:tcW w:type="dxa" w:w="24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Condition</w:t>
            </w:r>
          </w:p>
        </w:tc>
        <w:tc>
          <w:tcPr>
            <w:tcW w:type="dxa" w:w="24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Relay State</w:t>
            </w:r>
          </w:p>
        </w:tc>
        <w:tc>
          <w:tcPr>
            <w:tcW w:type="dxa" w:w="20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Motor Relays</w:t>
            </w:r>
          </w:p>
        </w:tc>
      </w:tr>
      <w:tr>
        <w:tc>
          <w:tcPr>
            <w:tcW w:type="dxa" w:w="9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1 (Highest)</w:t>
            </w:r>
          </w:p>
        </w:tc>
        <w:tc>
          <w:tcPr>
            <w:tcW w:type="dxa" w:w="16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AC Mains (230V)</w:t>
            </w:r>
          </w:p>
        </w:tc>
        <w:tc>
          <w:tcPr>
            <w:tcW w:type="dxa" w:w="24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ZMPT reads ≥ 50V RMS</w:t>
            </w:r>
          </w:p>
        </w:tc>
        <w:tc>
          <w:tcPr>
            <w:tcW w:type="dxa" w:w="24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Solar OFF, Wind OFF</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Motor 1 ON, Motor 2 ON</w:t>
            </w:r>
          </w:p>
        </w:tc>
      </w:tr>
      <w:tr>
        <w:tc>
          <w:tcPr>
            <w:tcW w:type="dxa" w:w="9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2</w:t>
            </w:r>
          </w:p>
        </w:tc>
        <w:tc>
          <w:tcPr>
            <w:tcW w:type="dxa" w:w="16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Solar 12V DC</w:t>
            </w:r>
          </w:p>
        </w:tc>
        <w:tc>
          <w:tcPr>
            <w:tcW w:type="dxa" w:w="24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Mains &lt; 50V AND gen current ≥ 0.15A</w:t>
            </w:r>
          </w:p>
        </w:tc>
        <w:tc>
          <w:tcPr>
            <w:tcW w:type="dxa" w:w="24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Solar ON, Wind OFF</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Motor 1 ON, Motor 2 ON</w:t>
            </w:r>
          </w:p>
        </w:tc>
      </w:tr>
      <w:tr>
        <w:tc>
          <w:tcPr>
            <w:tcW w:type="dxa" w:w="9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3</w:t>
            </w:r>
          </w:p>
        </w:tc>
        <w:tc>
          <w:tcPr>
            <w:tcW w:type="dxa" w:w="16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Wind 12V DC</w:t>
            </w:r>
          </w:p>
        </w:tc>
        <w:tc>
          <w:tcPr>
            <w:tcW w:type="dxa" w:w="24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Mains &lt; 50V AND solar current &lt; 0.15A</w:t>
            </w:r>
          </w:p>
        </w:tc>
        <w:tc>
          <w:tcPr>
            <w:tcW w:type="dxa" w:w="24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Solar ON, Wind ON</w:t>
            </w:r>
          </w:p>
        </w:tc>
        <w:tc>
          <w:tcPr>
            <w:tcW w:type="dxa" w:w="20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ON if gen ≥ 0.15A</w:t>
            </w:r>
          </w:p>
        </w:tc>
      </w:tr>
      <w:tr>
        <w:tc>
          <w:tcPr>
            <w:tcW w:type="dxa" w:w="9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Fault</w:t>
            </w:r>
          </w:p>
        </w:tc>
        <w:tc>
          <w:tcPr>
            <w:tcW w:type="dxa" w:w="16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None</w:t>
            </w:r>
          </w:p>
        </w:tc>
        <w:tc>
          <w:tcPr>
            <w:tcW w:type="dxa" w:w="24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Mains failed AND no gen current</w:t>
            </w:r>
          </w:p>
        </w:tc>
        <w:tc>
          <w:tcPr>
            <w:tcW w:type="dxa" w:w="24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Solar ON, Wind ON</w:t>
            </w:r>
          </w:p>
        </w:tc>
        <w:tc>
          <w:tcPr>
            <w:tcW w:type="dxa" w:w="20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Motor 1 OFF, Motor 2 OFF</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How does the diode OR-bus work and why is it needed?</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The ESP32 and peripheral circuits must stay powered even when AC mains fails (otherwise they cannot perform the failover). Three diodes (1N5408, 3A) connect the AC-DC adapter output, Solar adapter output, and Wind adapter output to a single 12V common bus. Whichever source has the highest voltage forward-biases its diode and supplies the bus; the others are reverse-biased and isolated. This creates an 'always-on' bus for the ESP32, relays, and sensors regardless of which source is active. The diode drop is 0.7V, so 12V − 0.7V = 11.3V reaches the LM7805, which needs minimum 7V input — safely satisfied.</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Why does AC mains not use a relay for load switching?</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AC mains feeds the AC motor loads directly through the MCB and distribution rail. The relay CH1 and CH2 on the AC side are ONLY for switching the capacitor banks across the AC line — they do not interrupt the load supply. For DC motor loads, the additional Motor Relay 1 and 2 (GPIO 12/13) switch the DC bus to the motors. This separation is important: cutting AC power through a relay on a running induction motor causes back-EMF transients that can damage the relay contacts.</w:t>
            </w:r>
          </w:p>
        </w:tc>
      </w:tr>
    </w:tbl>
    <w:p>
      <w:pPr>
        <w:spacing w:after="80" w:before="0" w:line="276"/>
        <w:jc w:val="left"/>
      </w:pPr>
      <w:r>
        <w:rPr>
          <w:rFonts w:ascii="Arial" w:cs="Arial" w:eastAsia="Arial" w:hAnsi="Arial"/>
          <w:b w:val="false"/>
          <w:bCs w:val="false"/>
          <w:color w:val="000000"/>
          <w:sz w:val="18"/>
          <w:szCs w:val="18"/>
        </w:rPr>
        <w:t xml:space="preserve"/>
      </w:r>
    </w:p>
    <w:p>
      <w:pPr>
        <w:pStyle w:val="Heading1"/>
        <w:shd w:fill="1F3864" w:val="clear"/>
        <w:spacing w:after="160" w:before="300"/>
        <w:jc w:val="left"/>
      </w:pPr>
      <w:r>
        <w:rPr>
          <w:rFonts w:ascii="Arial" w:cs="Arial" w:eastAsia="Arial" w:hAnsi="Arial"/>
          <w:b/>
          <w:bCs/>
          <w:color w:val="FFFFFF"/>
          <w:sz w:val="32"/>
          <w:szCs w:val="32"/>
        </w:rPr>
        <w:t xml:space="preserve">SECTION 6 — SIMULATION (MATLAB / SIMULINK)</w:t>
      </w:r>
    </w:p>
    <w:p>
      <w:pPr>
        <w:spacing w:after="60" w:before="0" w:line="276"/>
        <w:jc w:val="left"/>
      </w:pPr>
      <w:r>
        <w:rPr>
          <w:rFonts w:ascii="Arial" w:cs="Arial" w:eastAsia="Arial" w:hAnsi="Arial"/>
          <w:b w:val="false"/>
          <w:bCs w:val="false"/>
          <w:color w:val="000000"/>
          <w:sz w:val="18"/>
          <w:szCs w:val="18"/>
        </w:rPr>
        <w:t xml:space="preserve"/>
      </w:r>
    </w:p>
    <w:p>
      <w:pPr>
        <w:pStyle w:val="Heading2"/>
        <w:pBdr>
          <w:bottom w:val="single" w:color="0E6B6B" w:sz="4"/>
        </w:pBdr>
        <w:spacing w:after="120" w:before="260"/>
      </w:pPr>
      <w:r>
        <w:rPr>
          <w:rFonts w:ascii="Arial" w:cs="Arial" w:eastAsia="Arial" w:hAnsi="Arial"/>
          <w:b/>
          <w:bCs/>
          <w:color w:val="1F3864"/>
          <w:sz w:val="26"/>
          <w:szCs w:val="26"/>
        </w:rPr>
        <w:t xml:space="preserve">Existing System Simulation</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Three-phase 415V, 50 Hz grid with Series RLC Branch loads.</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Power measurement using Positive-Sequence Power block → outputs P (W) and Q (VAR).</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PF computed as: PF = P / √(P² + Q²), then acos() in radians → degrees.</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No compensation present — existing system baseline shows PF ≈ 0.9239 with angle 22.5°.</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Grid terminal voltage reads 89.96V (phase-to-neutral, low side of transformer).</w:t>
      </w:r>
    </w:p>
    <w:p>
      <w:pPr>
        <w:spacing w:after="80" w:before="0" w:line="276"/>
        <w:jc w:val="left"/>
      </w:pPr>
      <w:r>
        <w:rPr>
          <w:rFonts w:ascii="Arial" w:cs="Arial" w:eastAsia="Arial" w:hAnsi="Arial"/>
          <w:b w:val="false"/>
          <w:bCs w:val="false"/>
          <w:color w:val="000000"/>
          <w:sz w:val="18"/>
          <w:szCs w:val="18"/>
        </w:rPr>
        <w:t xml:space="preserve"/>
      </w:r>
    </w:p>
    <w:p>
      <w:pPr>
        <w:pStyle w:val="Heading2"/>
        <w:pBdr>
          <w:bottom w:val="single" w:color="0E6B6B" w:sz="4"/>
        </w:pBdr>
        <w:spacing w:after="120" w:before="260"/>
      </w:pPr>
      <w:r>
        <w:rPr>
          <w:rFonts w:ascii="Arial" w:cs="Arial" w:eastAsia="Arial" w:hAnsi="Arial"/>
          <w:b/>
          <w:bCs/>
          <w:color w:val="1F3864"/>
          <w:sz w:val="26"/>
          <w:szCs w:val="26"/>
        </w:rPr>
        <w:t xml:space="preserve">Proposed System Simulation</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Same grid base, but now includes Solar PV Inverter block and Wind Farm block.</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DemandManager block implements Solar_Switch and Wind_Switch logic.</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Function Fitting Neural Network (NNET block) takes [P, Q] as inputs and outputs PG (reactive power injection).</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Static VAR Compensator block receives NNET output and injects reactive power to correct PF.</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Discrete solver at 0.0002s sample time (5000 samples/second) — captures 100 samples per 50Hz cycle.</w:t>
      </w:r>
    </w:p>
    <w:p>
      <w:pPr>
        <w:pStyle w:val="ListParagraph"/>
        <w:numPr>
          <w:ilvl w:val="0"/>
          <w:numId w:val="2"/>
        </w:numPr>
        <w:spacing w:after="40" w:before="40" w:line="276"/>
      </w:pPr>
      <w:r>
        <w:rPr>
          <w:rFonts w:ascii="Arial" w:cs="Arial" w:eastAsia="Arial" w:hAnsi="Arial"/>
          <w:b w:val="false"/>
          <w:bCs w:val="false"/>
          <w:color w:val="000000"/>
          <w:sz w:val="20"/>
          <w:szCs w:val="20"/>
        </w:rPr>
        <w:t xml:space="preserve">Load step test: 4 kW → 15 kW transition. System recovers PF within 2–3 cycles (&lt; 60 ms).</w:t>
      </w:r>
    </w:p>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does the Simulink result graph show?</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The PF vs. time graph shows the system starting at near-unity (1.0), experiencing oscillations between 0.78 and 1.0 during the early transient period (0–5 seconds) as load steps are applied, then converging to a stable near-unity PF (&gt;0.95) after approximately 5–6 seconds as the neural network learns to compensate correctly. The Transfer Function block (0.02s+1 first-order filter) smooths the PF signal. The rightmost portion of the graph shows tight oscillation around 0.98–1.00, confirming the system has reached steady-state near-unity PF.</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is the discrete solver sample time and why 0.0002 s?</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0.0002 seconds = 200 microseconds = 5000 Hz sampling rate. For a 50 Hz power system, Nyquist theorem requires sampling at minimum 100 Hz to capture the fundamental. We use 5000 Hz (100× oversampling) to: (1) accurately capture the sinusoidal waveshape for RMS calculation, (2) detect harmonics up to 2500 Hz (useful for harmonic analysis), and (3) allow the NNET block to evaluate and update the capacitor switching command within each half-cycle of the power waveform.</w:t>
            </w:r>
          </w:p>
        </w:tc>
      </w:tr>
    </w:tbl>
    <w:p>
      <w:pPr>
        <w:spacing w:after="80" w:before="0" w:line="276"/>
        <w:jc w:val="left"/>
      </w:pPr>
      <w:r>
        <w:rPr>
          <w:rFonts w:ascii="Arial" w:cs="Arial" w:eastAsia="Arial" w:hAnsi="Arial"/>
          <w:b w:val="false"/>
          <w:bCs w:val="false"/>
          <w:color w:val="000000"/>
          <w:sz w:val="18"/>
          <w:szCs w:val="18"/>
        </w:rPr>
        <w:t xml:space="preserve"/>
      </w:r>
    </w:p>
    <w:p>
      <w:pPr>
        <w:pStyle w:val="Heading1"/>
        <w:shd w:fill="1F3864" w:val="clear"/>
        <w:spacing w:after="160" w:before="300"/>
        <w:jc w:val="left"/>
      </w:pPr>
      <w:r>
        <w:rPr>
          <w:rFonts w:ascii="Arial" w:cs="Arial" w:eastAsia="Arial" w:hAnsi="Arial"/>
          <w:b/>
          <w:bCs/>
          <w:color w:val="FFFFFF"/>
          <w:sz w:val="32"/>
          <w:szCs w:val="32"/>
        </w:rPr>
        <w:t xml:space="preserve">SECTION 7 — CLOUD &amp; WEB APPLICATION</w:t>
      </w:r>
    </w:p>
    <w:p>
      <w:pPr>
        <w:spacing w:after="6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Feature</w:t>
            </w:r>
          </w:p>
        </w:tc>
        <w:tc>
          <w:tcPr>
            <w:tcW w:type="dxa" w:w="30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Admin Access</w:t>
            </w:r>
          </w:p>
        </w:tc>
        <w:tc>
          <w:tcPr>
            <w:tcW w:type="dxa" w:w="30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User Access</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Voltage (VRMS)</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Full real-time data</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Not shown</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Mains current (A)</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Full real-time data</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Not shown</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Load current (A)</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Full real-time data</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Not shown</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Generation current (A)</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Full real-time data</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Not shown</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Power factor value</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Full real-time data</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Not shown</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Active / Apparent power</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Watts and VA</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Not shown</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Capacitor bank status</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10µF / 20µF / None</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Not shown</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Source status (AC/Sol/Wind)</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Full relay state</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Active source name only</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Energy consumed (kWh)</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With timestamps</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Total kWh this session</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Energy saved (kWh)</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Per source breakdown</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Total saved this session</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Bill estimate (Rs)</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Full billing data</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Estimated bill amount</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Event log</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Every relay change, PF event, source switch</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Not shown</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Historical log</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Full timeseries (pushed every 10s)</w:t>
            </w:r>
          </w:p>
        </w:tc>
        <w:tc>
          <w:tcPr>
            <w:tcW w:type="dxa" w:w="30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Not shown</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Recommendation tip</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All tips</w:t>
            </w:r>
          </w:p>
        </w:tc>
        <w:tc>
          <w:tcPr>
            <w:tcW w:type="dxa" w:w="30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Contextual efficiency tip</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Why Firebase and not AWS IoT Core (which is in your requirements slide)?</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AWS IoT Core is an enterprise-grade MQTT broker — excellent for production deployments but requires IAM role configuration, X.509 certificate management, and a more complex SDK. For a final-year prototype where the focus is demonstrating the concept, Firebase Realtime Database offers: (1) no-setup SDK in 3 lines of code, (2) free tier sufficient for prototype data volumes, (3) built-in JSON REST API usable directly from a web dashboard, (4) real-time listener push without polling. AWS IoT Core is cited in the requirements as the production-scale target platform.</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How is the admin vs. user data separation enforced?</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At the ESP32 level, two separate JSON payloads are written: one to /admin/live (full telemetry) and one to /user/live (sanitised subset). Firebase Security Rules then restrict: /admin path requires auth.token.admin == true (only accounts with admin custom claim can read). /user path requires only auth != null (any logged-in user can read). This means even if a user knows the Firebase URL, they receive a 'Permission Denied' error when attempting to read /admin. The ESP32 itself writes to both paths using a service account token that bypasses client rules.</w:t>
            </w:r>
          </w:p>
        </w:tc>
      </w:tr>
    </w:tbl>
    <w:p>
      <w:pPr>
        <w:spacing w:after="80" w:before="0" w:line="276"/>
        <w:jc w:val="left"/>
      </w:pPr>
      <w:r>
        <w:rPr>
          <w:rFonts w:ascii="Arial" w:cs="Arial" w:eastAsia="Arial" w:hAnsi="Arial"/>
          <w:b w:val="false"/>
          <w:bCs w:val="false"/>
          <w:color w:val="000000"/>
          <w:sz w:val="18"/>
          <w:szCs w:val="18"/>
        </w:rPr>
        <w:t xml:space="preserve"/>
      </w:r>
    </w:p>
    <w:p>
      <w:pPr>
        <w:pStyle w:val="Heading1"/>
        <w:shd w:fill="1F3864" w:val="clear"/>
        <w:spacing w:after="160" w:before="300"/>
        <w:jc w:val="left"/>
      </w:pPr>
      <w:r>
        <w:rPr>
          <w:rFonts w:ascii="Arial" w:cs="Arial" w:eastAsia="Arial" w:hAnsi="Arial"/>
          <w:b/>
          <w:bCs/>
          <w:color w:val="FFFFFF"/>
          <w:sz w:val="32"/>
          <w:szCs w:val="32"/>
        </w:rPr>
        <w:t xml:space="preserve">SECTION 8 — EXISTING vs. PROPOSED SYSTEM COMPARISON</w:t>
      </w:r>
    </w:p>
    <w:p>
      <w:pPr>
        <w:spacing w:after="6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Parameter</w:t>
            </w:r>
          </w:p>
        </w:tc>
        <w:tc>
          <w:tcPr>
            <w:tcW w:type="dxa" w:w="33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Existing System</w:t>
            </w:r>
          </w:p>
        </w:tc>
        <w:tc>
          <w:tcPr>
            <w:tcW w:type="dxa" w:w="338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Proposed System</w:t>
            </w:r>
          </w:p>
        </w:tc>
      </w:tr>
      <w:tr>
        <w:tc>
          <w:tcPr>
            <w:tcW w:type="dxa" w:w="26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PF correction method</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Fixed capacitor bank — manual or timed relay</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Neural Network adaptive switching — continuous</w:t>
            </w:r>
          </w:p>
        </w:tc>
      </w:tr>
      <w:tr>
        <w:tc>
          <w:tcPr>
            <w:tcW w:type="dxa" w:w="26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PF achieved</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~0.92 (Simulink baseline: 0.9239)</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≥0.98 (simulation converges to near-unity)</w:t>
            </w:r>
          </w:p>
        </w:tc>
      </w:tr>
      <w:tr>
        <w:tc>
          <w:tcPr>
            <w:tcW w:type="dxa" w:w="26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Load adaptability</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Cannot adapt to non-linear / variable loads</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MLP learns non-linear P-Q-V mapping</w:t>
            </w:r>
          </w:p>
        </w:tc>
      </w:tr>
      <w:tr>
        <w:tc>
          <w:tcPr>
            <w:tcW w:type="dxa" w:w="26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Source management</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Single source (grid only)</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Three-source priority: AC → Solar → Wind</w:t>
            </w:r>
          </w:p>
        </w:tc>
      </w:tr>
      <w:tr>
        <w:tc>
          <w:tcPr>
            <w:tcW w:type="dxa" w:w="26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Monitoring</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None — no real-time visibility</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IoT: Firebase + LCD display + web app</w:t>
            </w:r>
          </w:p>
        </w:tc>
      </w:tr>
      <w:tr>
        <w:tc>
          <w:tcPr>
            <w:tcW w:type="dxa" w:w="26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User/Admin interface</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None</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Web app with role-based data access</w:t>
            </w:r>
          </w:p>
        </w:tc>
      </w:tr>
      <w:tr>
        <w:tc>
          <w:tcPr>
            <w:tcW w:type="dxa" w:w="26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Response time</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Seconds (human/timer operated)</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&lt; 1 ms (NN inference) + relay settle</w:t>
            </w:r>
          </w:p>
        </w:tc>
      </w:tr>
      <w:tr>
        <w:tc>
          <w:tcPr>
            <w:tcW w:type="dxa" w:w="26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Overshoot/resonance</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Present — fixed switching causes transients</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Eliminated by hysteresis bands</w:t>
            </w:r>
          </w:p>
        </w:tc>
      </w:tr>
      <w:tr>
        <w:tc>
          <w:tcPr>
            <w:tcW w:type="dxa" w:w="26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Cost</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Low hardware, high penalty charges</w:t>
            </w:r>
          </w:p>
        </w:tc>
        <w:tc>
          <w:tcPr>
            <w:tcW w:type="dxa" w:w="338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Low ESP32 cost + eliminates utility penalties</w:t>
            </w:r>
          </w:p>
        </w:tc>
      </w:tr>
      <w:tr>
        <w:tc>
          <w:tcPr>
            <w:tcW w:type="dxa" w:w="26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Peak demand reduction</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None</w:t>
            </w:r>
          </w:p>
        </w:tc>
        <w:tc>
          <w:tcPr>
            <w:tcW w:type="dxa" w:w="338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15–25% via predictive load shifting</w:t>
            </w:r>
          </w:p>
        </w:tc>
      </w:tr>
    </w:tbl>
    <w:p>
      <w:pPr>
        <w:pStyle w:val="Heading1"/>
        <w:shd w:fill="1F3864" w:val="clear"/>
        <w:spacing w:after="160" w:before="300"/>
        <w:jc w:val="left"/>
      </w:pPr>
      <w:r>
        <w:rPr>
          <w:rFonts w:ascii="Arial" w:cs="Arial" w:eastAsia="Arial" w:hAnsi="Arial"/>
          <w:b/>
          <w:bCs/>
          <w:color w:val="FFFFFF"/>
          <w:sz w:val="32"/>
          <w:szCs w:val="32"/>
        </w:rPr>
        <w:t xml:space="preserve">SECTION 9 — LITERATURE REVIEW (VIVA ANSWERS)</w:t>
      </w:r>
    </w:p>
    <w:p>
      <w:pPr>
        <w:spacing w:after="6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did Biswas et al. (2025) contribute and why is your work different?</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Biswas et al. provided a broad AI framework review for smart grid optimization covering demand response and renewable forecasting at grid scale. Their limitation: no specific hardware implementation for industrial PF correction — purely a review paper. Our work provides a complete working prototype with actual capacitor bank hardware, ACS712 sensors, and an ESP32 deploying the neural network at the edge.</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Why didn't you use the Genetic Algorithm approach from Witharama et al. (2024)?</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Witharama's GA with LightGBM achieved excellent long-term microgrid optimisation but is computationally intensive — requiring population evaluations over 100s of iterations. For PF correction, we need sub-second capacitor switching decisions. A GA cannot evaluate fast enough on a microcontroller. Our MLP does inference in &lt; 1 ms. The GA is suitable for day-ahead energy scheduling; MLP is suitable for cycle-by-cycle reactive power control.</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was Farsi et al.'s approach and what did you adopt from it?</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Farsi et al. used a Parallel Deep LSTM-CNN hybrid for short-term load prediction. While we did not use LSTM (too memory-intensive for ESP32), the concept of using neural networks for load prediction inspired our use of an MLP for reactive load characterisation. The key insight adopted: neural networks outperform rule-based systems for non-linear load patterns.</w:t>
            </w:r>
          </w:p>
        </w:tc>
      </w:tr>
    </w:tbl>
    <w:p>
      <w:pPr>
        <w:spacing w:after="80" w:before="0" w:line="276"/>
        <w:jc w:val="left"/>
      </w:pPr>
      <w:r>
        <w:rPr>
          <w:rFonts w:ascii="Arial" w:cs="Arial" w:eastAsia="Arial" w:hAnsi="Arial"/>
          <w:b w:val="false"/>
          <w:bCs w:val="false"/>
          <w:color w:val="000000"/>
          <w:sz w:val="18"/>
          <w:szCs w:val="18"/>
        </w:rPr>
        <w:t xml:space="preserve"/>
      </w:r>
    </w:p>
    <w:p>
      <w:pPr>
        <w:pStyle w:val="Heading1"/>
        <w:shd w:fill="1F3864" w:val="clear"/>
        <w:spacing w:after="160" w:before="300"/>
        <w:jc w:val="left"/>
      </w:pPr>
      <w:r>
        <w:rPr>
          <w:rFonts w:ascii="Arial" w:cs="Arial" w:eastAsia="Arial" w:hAnsi="Arial"/>
          <w:b/>
          <w:bCs/>
          <w:color w:val="FFFFFF"/>
          <w:sz w:val="32"/>
          <w:szCs w:val="32"/>
        </w:rPr>
        <w:t xml:space="preserve">SECTION 10 — LIKELY VIVA QUESTIONS WITH FULL ANSWERS</w:t>
      </w:r>
    </w:p>
    <w:p>
      <w:pPr>
        <w:spacing w:after="6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is reactive power and why can't you just reduce it at the source?</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Reactive power (Q, measured in VAR) is the component of AC power that oscillates between the source and energy storage elements (inductors, capacitors) without doing real work. Induction motors need reactive power to establish their magnetic field — you cannot eliminate it without changing the motor physics. Instead, we supply that reactive power locally from a capacitor bank at the load site. The capacitor provides the reactive power the motor needs, so the utility supply sees only real power (resistive current), not reactive (lagging) current. This is power factor correction.</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is the difference between power factor and efficiency?</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Efficiency = real power output / real power input (accounts for heat losses, friction). Power factor = real power / apparent power (accounts for the phase angle between voltage and current waveforms). A motor can be 95% efficient (very little heat wasted) but have PF = 0.75 (25% of the current drawn from the grid is reactive and does no useful work). High PF does not mean high efficiency and vice versa — they are independent quantities.</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How does your system handle harmonics?</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The current sensors (ACS712) and RMS calculation method inherently capture all frequency components — our ADC-based RMS uses sum-of-squares over 200 samples covering 2 full 50Hz cycles, which naturally includes harmonic content in the RMS value. The Simulink simulation includes a Three-Phase Series RLC Branch that models harmonic impedances. True harmonic mitigation (active filtering) is cited as a future enhancement — the current prototype uses passive capacitor banks which primarily address the fundamental frequency reactive power, not higher harmonics.</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Your PPT says 15–25% peak demand reduction. How is that achieved?</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Peak demand reduction occurs through two mechanisms in our proposed system: (1) PF correction — when PF improves from 0.85 to 0.98, the apparent power (kVA) drawn from the grid reduces from, say, 100 kVA to 86.7 kVA for the same real load. This is a 13% reduction in apparent demand. (2) Load shifting — the system monitors P_load and Q_load on heavy-load branches and, using threshold analysis, defers flexible loads (HVAC, non-critical motors) to off-peak times. The combined 15–25% figure is from literature benchmarks for systems implementing both techniques.</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safety measures are in your hardware?</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Five layers: (1) MCB (6A, single-pole) on AC mains input — trips on overcurrent/short circuit. (2) Relay isolation — relay coil is electrically isolated from contact by optocouplers on the relay module; ESP32 GPIO never contacts mains voltage. (3) ADC protection — 100Ω series resistors and 3.3V zener clamps on GPIO 34/35/32/33 prevent sensor voltage spikes from damaging ESP32 ADC inputs. (4) GPIO protection — 330Ω resistors between GPIO and relay IN pins limit current to &lt; 5mA. (5) Diode isolation — 1N5408 diodes prevent reverse current flow between power sources.</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What would you improve if you had more time?</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Three clear improvements: (1) True phase-angle PF measurement — sample voltage and current synchronously and compute the phase shift directly via zero-crossing detection, rather than the ratio method used in prototype. (2) Online learning — update NN weights in real-time using new load data from the ESP32, so the system adapts to a new facility without retraining in MATLAB. (3) Real solar/wind MPPT — replace the adapter simulations with actual PV panels and a small wind turbine with MPPT controllers, and add weather API integration for predictive source scheduling as described in the methodology.</w:t>
            </w:r>
          </w:p>
        </w:tc>
      </w:tr>
    </w:tbl>
    <w:p>
      <w:pPr>
        <w:spacing w:after="8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6"/>
              <w:bottom w:val="single" w:color="E6B800" w:sz="6"/>
              <w:right w:val="single" w:color="E6B800" w:sz="6"/>
            </w:tcBorders>
            <w:shd w:fill="FFF2CC" w:val="clear"/>
            <w:tcMar>
              <w:top w:type="dxa" w:w="80"/>
              <w:left w:type="dxa" w:w="160"/>
              <w:bottom w:type="dxa" w:w="80"/>
              <w:right w:type="dxa" w:w="160"/>
            </w:tcMar>
          </w:tcPr>
          <w:p>
            <w:pPr>
              <w:spacing w:after="120" w:before="0" w:line="276"/>
              <w:jc w:val="left"/>
            </w:pPr>
            <w:r>
              <w:rPr>
                <w:rFonts w:ascii="Arial" w:cs="Arial" w:eastAsia="Arial" w:hAnsi="Arial"/>
                <w:b/>
                <w:bCs/>
                <w:color w:val="1F3864"/>
                <w:sz w:val="22"/>
                <w:szCs w:val="22"/>
              </w:rPr>
              <w:t xml:space="preserve">Q: </w:t>
            </w:r>
            <w:r>
              <w:rPr>
                <w:rFonts w:ascii="Arial" w:cs="Arial" w:eastAsia="Arial" w:hAnsi="Arial"/>
                <w:b w:val="false"/>
                <w:bCs w:val="false"/>
                <w:color w:val="333333"/>
                <w:sz w:val="21"/>
                <w:szCs w:val="21"/>
              </w:rPr>
              <w:t xml:space="preserve">Your project title says 'Edge Computing Framework' — how is it an edge computing system?</w:t>
            </w:r>
          </w:p>
        </w:tc>
      </w:tr>
      <w:tr>
        <w:tc>
          <w:tcPr>
            <w:tcW w:type="dxa" w:w="9360"/>
            <w:tcBorders>
              <w:top w:val="single" w:color="AAAAAA" w:sz="4"/>
              <w:left w:val="single" w:color="AAAAAA" w:sz="4"/>
              <w:bottom w:val="single" w:color="AAAAAA" w:sz="4"/>
              <w:right w:val="single" w:color="AAAAAA" w:sz="4"/>
            </w:tcBorders>
            <w:shd w:fill="F2F2F2" w:val="clear"/>
            <w:tcMar>
              <w:top w:type="dxa" w:w="80"/>
              <w:left w:type="dxa" w:w="160"/>
              <w:bottom w:type="dxa" w:w="100"/>
              <w:right w:type="dxa" w:w="160"/>
            </w:tcMar>
          </w:tcPr>
          <w:p>
            <w:pPr>
              <w:spacing w:after="120" w:before="0" w:line="276"/>
              <w:jc w:val="left"/>
            </w:pPr>
            <w:r>
              <w:rPr>
                <w:rFonts w:ascii="Arial" w:cs="Arial" w:eastAsia="Arial" w:hAnsi="Arial"/>
                <w:b/>
                <w:bCs/>
                <w:color w:val="0E6B6B"/>
                <w:sz w:val="20"/>
                <w:szCs w:val="20"/>
              </w:rPr>
              <w:t xml:space="preserve">A: </w:t>
            </w:r>
            <w:r>
              <w:rPr>
                <w:rFonts w:ascii="Arial" w:cs="Arial" w:eastAsia="Arial" w:hAnsi="Arial"/>
                <w:b w:val="false"/>
                <w:bCs w:val="false"/>
                <w:color w:val="000000"/>
                <w:sz w:val="20"/>
                <w:szCs w:val="20"/>
              </w:rPr>
              <w:t xml:space="preserve">Edge computing means processing data at or near the source of generation, rather than sending raw data to a remote cloud server for processing and waiting for a response. In our system, all critical decisions — NN inference, relay switching, PF correction, source failover — happen on the ESP32 at the point of use with zero cloud latency. Only summarised, non-critical telemetry (energy totals, status) is uploaded to Firebase. This is the textbook definition of edge AI: intelligence at the network edge. If our system relied on the cloud for relay switching decisions, a 100 ms WiFi round-trip would be unacceptable for PF correction requiring &lt; 1 ms response.</w:t>
            </w:r>
          </w:p>
        </w:tc>
      </w:tr>
    </w:tbl>
    <w:p>
      <w:pPr>
        <w:spacing w:after="80" w:before="0" w:line="276"/>
        <w:jc w:val="left"/>
      </w:pPr>
      <w:r>
        <w:rPr>
          <w:rFonts w:ascii="Arial" w:cs="Arial" w:eastAsia="Arial" w:hAnsi="Arial"/>
          <w:b w:val="false"/>
          <w:bCs w:val="false"/>
          <w:color w:val="000000"/>
          <w:sz w:val="18"/>
          <w:szCs w:val="18"/>
        </w:rPr>
        <w:t xml:space="preserve"/>
      </w:r>
    </w:p>
    <w:p>
      <w:pPr>
        <w:pStyle w:val="Heading1"/>
        <w:shd w:fill="1F3864" w:val="clear"/>
        <w:spacing w:after="160" w:before="300"/>
        <w:jc w:val="left"/>
      </w:pPr>
      <w:r>
        <w:rPr>
          <w:rFonts w:ascii="Arial" w:cs="Arial" w:eastAsia="Arial" w:hAnsi="Arial"/>
          <w:b/>
          <w:bCs/>
          <w:color w:val="FFFFFF"/>
          <w:sz w:val="32"/>
          <w:szCs w:val="32"/>
        </w:rPr>
        <w:t xml:space="preserve">SECTION 11 — ONE-PAGE CHEAT SHEET (Key Numbers)</w:t>
      </w:r>
    </w:p>
    <w:p>
      <w:pPr>
        <w:spacing w:after="6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What the examiner asks</w:t>
            </w:r>
          </w:p>
        </w:tc>
        <w:tc>
          <w:tcPr>
            <w:tcW w:type="dxa" w:w="6160"/>
            <w:tcBorders>
              <w:top w:val="single" w:color="FFFFFF" w:sz="4"/>
              <w:left w:val="single" w:color="FFFFFF" w:sz="4"/>
              <w:bottom w:val="single" w:color="FFFFFF" w:sz="4"/>
              <w:right w:val="single" w:color="FFFFFF" w:sz="4"/>
            </w:tcBorders>
            <w:shd w:fill="1F3864" w:val="clear"/>
            <w:tcMar>
              <w:top w:type="dxa" w:w="80"/>
              <w:left w:type="dxa" w:w="120"/>
              <w:bottom w:type="dxa" w:w="80"/>
              <w:right w:type="dxa" w:w="120"/>
            </w:tcMar>
            <w:vAlign w:val="center"/>
          </w:tcPr>
          <w:p>
            <w:pPr>
              <w:spacing w:after="120" w:before="0" w:line="276"/>
              <w:jc w:val="center"/>
            </w:pPr>
            <w:r>
              <w:rPr>
                <w:rFonts w:ascii="Arial" w:cs="Arial" w:eastAsia="Arial" w:hAnsi="Arial"/>
                <w:b/>
                <w:bCs/>
                <w:color w:val="FFFFFF"/>
                <w:sz w:val="20"/>
                <w:szCs w:val="20"/>
              </w:rPr>
              <w:t xml:space="preserve">Your answer</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Target PF</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 0.98 (proposed); baseline 0.9239 (existing sim)</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Peak demand reduction</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15–25%</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ADC resolution</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12-bit (4096 steps), 0.8 mV/step</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Current sensor</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ACS712-20A, 100 mV/A, ±20A range</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Current resolution</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~8 mA (0.8 mV ÷ 100 mV/A)</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Voltage sensor</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ZMPT101B, scale factor ~191.7</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Capacitor banks</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 × 10 µF = 20 µF total, 440V AC Class B</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Relays — PF</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CH1 (GPIO25) = Cap1, CH2 (GPIO26) = Cap2</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Relays — source</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CH3 (GPIO27) = Solar, CH4 (GPIO14) = Wind</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Relays — load</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GPIO12 = Motor1, GPIO13 = Motor2</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NN type</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MLP / Function Fitting NN, Supervised Learning</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NN inputs</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P (W), Q (VAR), V (V)</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NN output</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QCOMP (VAR needed) → cap bank state</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Training tool</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MATLAB Neural Network Toolbox (nftool), Levenberg-Marquardt</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Simulation sample time</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0.0002 s (200 µs)</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Load test range</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4 kW to 15 kW step</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Dual-core split</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Core 0: PF control | Core 1: IoT + display</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Cloud platform</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Firebase Realtime Database</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Source priority</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AC Mains → Solar 12V → Wind 12V</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Mains fail threshold</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&lt; 50V RMS on ZMPT101B</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Debounce time</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2 s (4 × 500 ms loops)</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Diodes</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1N5408 × 3 on 12V OR-bus</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MCB rating</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6A single-pole 230V AC</w:t>
            </w:r>
          </w:p>
        </w:tc>
      </w:tr>
      <w:tr>
        <w:tc>
          <w:tcPr>
            <w:tcW w:type="dxa" w:w="320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Firebase upload rate</w:t>
            </w:r>
          </w:p>
        </w:tc>
        <w:tc>
          <w:tcPr>
            <w:tcW w:type="dxa" w:w="6160"/>
            <w:tcBorders>
              <w:top w:val="single" w:color="AAAAAA" w:sz="2"/>
              <w:left w:val="single" w:color="AAAAAA" w:sz="2"/>
              <w:bottom w:val="single" w:color="AAAAAA" w:sz="2"/>
              <w:right w:val="single" w:color="AAAAAA" w:sz="2"/>
            </w:tcBorders>
            <w:shd w:fill="FFFFFF"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Every 10 seconds</w:t>
            </w:r>
          </w:p>
        </w:tc>
      </w:tr>
      <w:tr>
        <w:tc>
          <w:tcPr>
            <w:tcW w:type="dxa" w:w="320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left"/>
            </w:pPr>
            <w:r>
              <w:rPr>
                <w:rFonts w:ascii="Arial" w:cs="Arial" w:eastAsia="Arial" w:hAnsi="Arial"/>
                <w:b w:val="false"/>
                <w:bCs w:val="false"/>
                <w:color w:val="000000"/>
                <w:sz w:val="19"/>
                <w:szCs w:val="19"/>
              </w:rPr>
              <w:t xml:space="preserve">LCD display</w:t>
            </w:r>
          </w:p>
        </w:tc>
        <w:tc>
          <w:tcPr>
            <w:tcW w:type="dxa" w:w="6160"/>
            <w:tcBorders>
              <w:top w:val="single" w:color="AAAAAA" w:sz="2"/>
              <w:left w:val="single" w:color="AAAAAA" w:sz="2"/>
              <w:bottom w:val="single" w:color="AAAAAA" w:sz="2"/>
              <w:right w:val="single" w:color="AAAAAA" w:sz="2"/>
            </w:tcBorders>
            <w:shd w:fill="D5E8F0" w:val="clear"/>
            <w:tcMar>
              <w:top w:type="dxa" w:w="70"/>
              <w:left w:type="dxa" w:w="120"/>
              <w:bottom w:type="dxa" w:w="70"/>
              <w:right w:type="dxa" w:w="120"/>
            </w:tcMar>
          </w:tcPr>
          <w:p>
            <w:pPr>
              <w:spacing w:after="120" w:before="0" w:line="276"/>
              <w:jc w:val="center"/>
            </w:pPr>
            <w:r>
              <w:rPr>
                <w:rFonts w:ascii="Arial" w:cs="Arial" w:eastAsia="Arial" w:hAnsi="Arial"/>
                <w:b w:val="false"/>
                <w:bCs w:val="false"/>
                <w:color w:val="000000"/>
                <w:sz w:val="19"/>
                <w:szCs w:val="19"/>
              </w:rPr>
              <w:t xml:space="preserve">16×2 HD44780 + PCF8574 I2C, addr 0x27</w:t>
            </w:r>
          </w:p>
        </w:tc>
      </w:tr>
    </w:tbl>
    <w:p>
      <w:pPr>
        <w:spacing w:after="160" w:before="0" w:line="276"/>
        <w:jc w:val="left"/>
      </w:pPr>
      <w:r>
        <w:rPr>
          <w:rFonts w:ascii="Arial" w:cs="Arial" w:eastAsia="Arial" w:hAnsi="Arial"/>
          <w:b w:val="false"/>
          <w:bCs w:val="false"/>
          <w:color w:val="00000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6"/>
              <w:left w:val="single" w:color="4CAF50" w:sz="6"/>
              <w:bottom w:val="single" w:color="4CAF50" w:sz="6"/>
              <w:right w:val="single" w:color="4CAF50" w:sz="6"/>
            </w:tcBorders>
            <w:shd w:fill="E2EFDA" w:val="clear"/>
            <w:tcMar>
              <w:top w:type="dxa" w:w="120"/>
              <w:left w:type="dxa" w:w="200"/>
              <w:bottom w:type="dxa" w:w="120"/>
              <w:right w:type="dxa" w:w="200"/>
            </w:tcMar>
          </w:tcPr>
          <w:p>
            <w:pPr>
              <w:spacing w:after="80" w:before="0" w:line="276"/>
              <w:jc w:val="center"/>
            </w:pPr>
            <w:r>
              <w:rPr>
                <w:rFonts w:ascii="Arial" w:cs="Arial" w:eastAsia="Arial" w:hAnsi="Arial"/>
                <w:b/>
                <w:bCs/>
                <w:color w:val="0E6B6B"/>
                <w:sz w:val="22"/>
                <w:szCs w:val="22"/>
              </w:rPr>
              <w:t xml:space="preserve">Best of luck for your external viva! — Janaki Raman, Purushothaman &amp; Raja Pandi</w:t>
            </w:r>
          </w:p>
          <w:p>
            <w:pPr>
              <w:spacing w:after="120" w:before="0" w:line="276"/>
              <w:jc w:val="center"/>
            </w:pPr>
            <w:r>
              <w:rPr>
                <w:rFonts w:ascii="Arial" w:cs="Arial" w:eastAsia="Arial" w:hAnsi="Arial"/>
                <w:b w:val="false"/>
                <w:bCs w:val="false"/>
                <w:color w:val="333333"/>
                <w:sz w:val="19"/>
                <w:szCs w:val="19"/>
              </w:rPr>
              <w:t xml:space="preserve">Remember: Speak confidently about your hardware in front of you. If unsure of a formula, derive it step-by-step. Every number in this document is defensible.</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before="0" w:line="276"/>
      <w:jc w:val="center"/>
    </w:pPr>
    <w:r>
      <w:rPr>
        <w:rFonts w:ascii="Arial" w:cs="Arial" w:eastAsia="Arial" w:hAnsi="Arial"/>
        <w:i/>
        <w:iCs/>
        <w:color w:val="888888"/>
        <w:sz w:val="16"/>
        <w:szCs w:val="16"/>
      </w:rPr>
      <w:t xml:space="preserve">Prathyusha Engineering College  |  Dept. of EEE  |  2024–25</w:t>
    </w:r>
    <w:r>
      <w:rPr>
        <w:rFonts w:ascii="Arial" w:cs="Arial" w:eastAsia="Arial" w:hAnsi="Arial"/>
        <w:b w:val="false"/>
        <w:bCs w:val="false"/>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F3864" w:val="clear"/>
          <w:tcMar>
            <w:top w:type="dxa" w:w="60"/>
            <w:left w:type="dxa" w:w="160"/>
            <w:bottom w:type="dxa" w:w="60"/>
            <w:right w:type="dxa" w:w="40"/>
          </w:tcMar>
        </w:tcPr>
        <w:p>
          <w:pPr>
            <w:spacing w:after="120" w:before="0" w:line="276"/>
            <w:jc w:val="left"/>
          </w:pPr>
          <w:r>
            <w:rPr>
              <w:rFonts w:ascii="Arial" w:cs="Arial" w:eastAsia="Arial" w:hAnsi="Arial"/>
              <w:b/>
              <w:bCs/>
              <w:color w:val="FFFFFF"/>
              <w:sz w:val="18"/>
              <w:szCs w:val="18"/>
            </w:rPr>
            <w:t xml:space="preserve">EEE FYP — Dual Core Edge Computing Framework</w:t>
          </w:r>
        </w:p>
      </w:tc>
      <w:tc>
        <w:tcPr>
          <w:tcW w:type="dxa" w:w="2360"/>
          <w:tcBorders>
            <w:top w:val="none" w:color="FFFFFF" w:sz="0"/>
            <w:left w:val="none" w:color="FFFFFF" w:sz="0"/>
            <w:bottom w:val="none" w:color="FFFFFF" w:sz="0"/>
            <w:right w:val="none" w:color="FFFFFF" w:sz="0"/>
          </w:tcBorders>
          <w:shd w:fill="1F3864" w:val="clear"/>
          <w:tcMar>
            <w:top w:type="dxa" w:w="60"/>
            <w:left w:type="dxa" w:w="40"/>
            <w:bottom w:type="dxa" w:w="60"/>
            <w:right w:type="dxa" w:w="160"/>
          </w:tcMar>
        </w:tcPr>
        <w:p>
          <w:pPr>
            <w:spacing w:after="120" w:before="0" w:line="276"/>
            <w:jc w:val="right"/>
          </w:pPr>
          <w:r>
            <w:rPr>
              <w:rFonts w:ascii="Arial" w:cs="Arial" w:eastAsia="Arial" w:hAnsi="Arial"/>
              <w:b/>
              <w:bCs/>
              <w:color w:val="FFFFFF"/>
              <w:sz w:val="18"/>
              <w:szCs w:val="18"/>
            </w:rPr>
            <w:t xml:space="preserve">External Viva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bullet"/>
      <w:lvlText w:val="–"/>
      <w:lvlJc w:val="left"/>
      <w:pPr>
        <w:ind w:left="660" w:hanging="220"/>
      </w:pPr>
    </w:lvl>
  </w:abstractNum>
  <w:abstractNum w:abstractNumId="4"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2026-04-19T17:17:14.310Z</dcterms:created>
  <dcterms:modified xsi:type="dcterms:W3CDTF">2026-04-19T17:17:14.311Z</dcterms:modified>
</cp:coreProperties>
</file>

<file path=docProps/custom.xml><?xml version="1.0" encoding="utf-8"?>
<Properties xmlns="http://schemas.openxmlformats.org/officeDocument/2006/custom-properties" xmlns:vt="http://schemas.openxmlformats.org/officeDocument/2006/docPropsVTypes"/>
</file>