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C6E6A" w14:textId="77777777" w:rsidR="00CE28E8" w:rsidRDefault="00CE28E8" w:rsidP="00CE28E8">
      <w:pPr>
        <w:pStyle w:val="Title"/>
      </w:pPr>
      <w:r w:rsidRPr="005F1E76">
        <w:rPr>
          <w:b/>
          <w:bCs/>
        </w:rPr>
        <w:t>LEVEL 1:</w:t>
      </w:r>
      <w:r w:rsidRPr="005F1E76">
        <w:t xml:space="preserve"> Seismic Feedback and Safety Interlocks</w:t>
      </w:r>
    </w:p>
    <w:p w14:paraId="79B4C7EC" w14:textId="77777777" w:rsidR="00CE28E8" w:rsidRDefault="00CE28E8" w:rsidP="00CE28E8">
      <w:r w:rsidRPr="005F1E76">
        <w:rPr>
          <w:b/>
          <w:bCs/>
        </w:rPr>
        <w:t>AIM</w:t>
      </w:r>
      <w:r>
        <w:t>:</w:t>
      </w:r>
    </w:p>
    <w:p w14:paraId="2766ACD6" w14:textId="77777777" w:rsidR="00CE28E8" w:rsidRDefault="00CE28E8" w:rsidP="00CE28E8">
      <w:pPr>
        <w:pStyle w:val="ListParagraph"/>
        <w:numPr>
          <w:ilvl w:val="0"/>
          <w:numId w:val="2"/>
        </w:numPr>
      </w:pPr>
      <w:r w:rsidRPr="005F1E76">
        <w:t>Assume a MPU6050 is mounted directly to the drill head. You must read the gyroscope data to detect "rock hardness" through vibrations and sudden jerks. Calculate the magnitude of the jerk using the formula:</w:t>
      </w:r>
      <w:r>
        <w:br/>
      </w:r>
      <m:oMathPara>
        <m:oMath>
          <m:r>
            <w:rPr>
              <w:rFonts w:ascii="Cambria Math" w:hAnsi="Cambria Math"/>
            </w:rPr>
            <m:t xml:space="preserve">Jerk=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(GyroX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GyroY</m:t>
                  </m:r>
                </m:e>
                <m:sup>
                  <m:r>
                    <w:rPr>
                      <w:rFonts w:ascii="Cambria Math" w:hAnsi="Cambria Math"/>
                    </w:rPr>
                    <m:t>2</m:t>
                  </m:r>
                </m:sup>
              </m:sSup>
              <m:r>
                <w:rPr>
                  <w:rFonts w:ascii="Cambria Math" w:eastAsiaTheme="minorEastAsia" w:hAnsi="Cambria Math"/>
                </w:rPr>
                <m:t>)</m:t>
              </m:r>
            </m:e>
          </m:rad>
          <m:r>
            <w:rPr>
              <w:rFonts w:ascii="Cambria Math" w:eastAsiaTheme="minorEastAsia" w:hAnsi="Cambria Math"/>
            </w:rPr>
            <m:t xml:space="preserve"> </m:t>
          </m:r>
        </m:oMath>
      </m:oMathPara>
    </w:p>
    <w:p w14:paraId="29014A36" w14:textId="77777777" w:rsidR="00CE28E8" w:rsidRDefault="00CE28E8" w:rsidP="00CE28E8">
      <w:pPr>
        <w:pStyle w:val="ListParagraph"/>
        <w:numPr>
          <w:ilvl w:val="0"/>
          <w:numId w:val="2"/>
        </w:numPr>
      </w:pPr>
      <w:r w:rsidRPr="005F1E76">
        <w:t xml:space="preserve">If this calculated Jerk exceeds a predefined threshold, the system registers a hard rock strike. As vibrations increase, the drill heats up; map the RGB LED to the Jerk magnitude, ranging from Blue (cool/smooth drilling) to Red (hot/hard rock). </w:t>
      </w:r>
    </w:p>
    <w:p w14:paraId="3188C37F" w14:textId="77777777" w:rsidR="00CE28E8" w:rsidRDefault="00CE28E8" w:rsidP="00CE28E8">
      <w:pPr>
        <w:pStyle w:val="ListParagraph"/>
        <w:numPr>
          <w:ilvl w:val="0"/>
          <w:numId w:val="2"/>
        </w:numPr>
      </w:pPr>
      <w:r w:rsidRPr="005F1E76">
        <w:t xml:space="preserve">If the RGB LED turns pure red (maximum vibration threshold), the system must instantly freeze the Stepper Motor, trigger the Buzzer, display "HARD ROCK HIT!" on the OLED, and return to the main menu. </w:t>
      </w:r>
    </w:p>
    <w:p w14:paraId="66C0BCB8" w14:textId="77777777" w:rsidR="00CE28E8" w:rsidRDefault="00CE28E8" w:rsidP="00CE28E8">
      <w:pPr>
        <w:pStyle w:val="ListParagraph"/>
        <w:numPr>
          <w:ilvl w:val="0"/>
          <w:numId w:val="2"/>
        </w:numPr>
      </w:pPr>
      <w:r w:rsidRPr="005F1E76">
        <w:t>If the user re-enters "Control Drill" while the drill is still jammed, downward inputs must be blocked and "WARNING: DRILL STUCK" displayed — only upward (retract) inputs are allowed. Once the user retracts the drill fully clear of the rock, the jam state resets and the drill can descend again normally</w:t>
      </w:r>
      <w:r>
        <w:t>.</w:t>
      </w:r>
    </w:p>
    <w:p w14:paraId="0B14DA08" w14:textId="77777777" w:rsidR="00CE28E8" w:rsidRDefault="00CE28E8" w:rsidP="00CE28E8">
      <w:pPr>
        <w:pStyle w:val="Heading1"/>
      </w:pPr>
      <w:r>
        <w:t>Interfacing:</w:t>
      </w:r>
    </w:p>
    <w:p w14:paraId="39FD09B2" w14:textId="77777777" w:rsidR="00CE28E8" w:rsidRDefault="00CE28E8" w:rsidP="00CE28E8">
      <w:pPr>
        <w:pStyle w:val="Heading2"/>
      </w:pPr>
      <w:r>
        <w:t>MPU6050:</w:t>
      </w:r>
    </w:p>
    <w:p w14:paraId="3B69D29F" w14:textId="77777777" w:rsidR="00CE28E8" w:rsidRDefault="00CE28E8" w:rsidP="00CE28E8">
      <w:r>
        <w:t>Sources:</w:t>
      </w:r>
    </w:p>
    <w:p w14:paraId="65C1F93F" w14:textId="77777777" w:rsidR="00CE28E8" w:rsidRDefault="00CE28E8" w:rsidP="00CE28E8">
      <w:pPr>
        <w:pStyle w:val="ListParagraph"/>
        <w:numPr>
          <w:ilvl w:val="0"/>
          <w:numId w:val="1"/>
        </w:numPr>
      </w:pPr>
      <w:r>
        <w:t xml:space="preserve">Register Map: </w:t>
      </w:r>
      <w:hyperlink r:id="rId5" w:history="1">
        <w:r w:rsidRPr="002951F8">
          <w:rPr>
            <w:rStyle w:val="Hyperlink"/>
          </w:rPr>
          <w:t>https://cdn.sparkfun.com/datasheets/Sensors/Accelerometers/RM-MPU-6000A.pdf</w:t>
        </w:r>
      </w:hyperlink>
      <w:r>
        <w:t xml:space="preserve"> </w:t>
      </w:r>
    </w:p>
    <w:p w14:paraId="5D83DDC5" w14:textId="77777777" w:rsidR="00CE28E8" w:rsidRDefault="00CE28E8" w:rsidP="00CE28E8">
      <w:pPr>
        <w:pStyle w:val="ListParagraph"/>
        <w:numPr>
          <w:ilvl w:val="0"/>
          <w:numId w:val="1"/>
        </w:numPr>
      </w:pPr>
      <w:r>
        <w:t>Datasheet:</w:t>
      </w:r>
      <w:r w:rsidRPr="00B05298">
        <w:t xml:space="preserve"> </w:t>
      </w:r>
      <w:hyperlink r:id="rId6" w:history="1">
        <w:r w:rsidRPr="002951F8">
          <w:rPr>
            <w:rStyle w:val="Hyperlink"/>
          </w:rPr>
          <w:t>https://www.cdiweb.com/datasheets/invensense/mpu-6050_datasheet_v3%204.pdf</w:t>
        </w:r>
      </w:hyperlink>
      <w:r>
        <w:t xml:space="preserve"> </w:t>
      </w:r>
    </w:p>
    <w:p w14:paraId="26DFC062" w14:textId="77777777" w:rsidR="00CE28E8" w:rsidRPr="005726A9" w:rsidRDefault="00CE28E8" w:rsidP="00CE28E8">
      <w:pPr>
        <w:jc w:val="center"/>
      </w:pPr>
      <w:r w:rsidRPr="00B05298">
        <w:rPr>
          <w:noProof/>
        </w:rPr>
        <w:drawing>
          <wp:inline distT="0" distB="0" distL="0" distR="0" wp14:anchorId="307637B5" wp14:editId="4243D7E5">
            <wp:extent cx="1742995" cy="1326044"/>
            <wp:effectExtent l="0" t="1270" r="8890" b="8890"/>
            <wp:docPr id="42497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72754" name=""/>
                    <pic:cNvPicPr/>
                  </pic:nvPicPr>
                  <pic:blipFill>
                    <a:blip r:embed="rId7"/>
                    <a:stretch>
                      <a:fillRect/>
                    </a:stretch>
                  </pic:blipFill>
                  <pic:spPr>
                    <a:xfrm rot="16200000">
                      <a:off x="0" y="0"/>
                      <a:ext cx="1758861" cy="1338115"/>
                    </a:xfrm>
                    <a:prstGeom prst="rect">
                      <a:avLst/>
                    </a:prstGeom>
                  </pic:spPr>
                </pic:pic>
              </a:graphicData>
            </a:graphic>
          </wp:inline>
        </w:drawing>
      </w:r>
    </w:p>
    <w:p w14:paraId="70E44611" w14:textId="77777777" w:rsidR="00CE28E8" w:rsidRDefault="00CE28E8" w:rsidP="00CE28E8">
      <w:pPr>
        <w:pStyle w:val="ListParagraph"/>
        <w:numPr>
          <w:ilvl w:val="0"/>
          <w:numId w:val="3"/>
        </w:numPr>
      </w:pPr>
      <w:r>
        <w:lastRenderedPageBreak/>
        <w:t>Follows I2C Protocol</w:t>
      </w:r>
    </w:p>
    <w:p w14:paraId="0060EB8C" w14:textId="77777777" w:rsidR="00CE28E8" w:rsidRPr="00B05298" w:rsidRDefault="00CE28E8" w:rsidP="00CE28E8">
      <w:pPr>
        <w:pStyle w:val="ListParagraph"/>
        <w:numPr>
          <w:ilvl w:val="0"/>
          <w:numId w:val="3"/>
        </w:numPr>
      </w:pPr>
      <w:r>
        <w:t xml:space="preserve">We know:  </w:t>
      </w:r>
      <m:oMath>
        <m:r>
          <w:rPr>
            <w:rFonts w:ascii="Cambria Math" w:hAnsi="Cambria Math"/>
          </w:rPr>
          <m:t xml:space="preserve">Jerk=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(GyroX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GyroY</m:t>
                </m:r>
              </m:e>
              <m:sup>
                <m:r>
                  <w:rPr>
                    <w:rFonts w:ascii="Cambria Math" w:hAnsi="Cambria Math"/>
                  </w:rPr>
                  <m:t>2</m:t>
                </m:r>
              </m:sup>
            </m:sSup>
            <m:r>
              <w:rPr>
                <w:rFonts w:ascii="Cambria Math" w:eastAsiaTheme="minorEastAsia" w:hAnsi="Cambria Math"/>
              </w:rPr>
              <m:t>)</m:t>
            </m:r>
          </m:e>
        </m:rad>
        <m:r>
          <w:rPr>
            <w:rFonts w:ascii="Cambria Math" w:eastAsiaTheme="minorEastAsia" w:hAnsi="Cambria Math"/>
          </w:rPr>
          <m:t xml:space="preserve"> </m:t>
        </m:r>
      </m:oMath>
    </w:p>
    <w:p w14:paraId="21390698" w14:textId="77777777" w:rsidR="00CE28E8" w:rsidRPr="00294892" w:rsidRDefault="00CE28E8" w:rsidP="00CE28E8">
      <w:pPr>
        <w:pStyle w:val="ListParagraph"/>
        <w:numPr>
          <w:ilvl w:val="1"/>
          <w:numId w:val="3"/>
        </w:numPr>
      </w:pPr>
      <w:r>
        <w:rPr>
          <w:rFonts w:eastAsiaTheme="minorEastAsia"/>
        </w:rPr>
        <w:t xml:space="preserve">We only need </w:t>
      </w:r>
      <w:proofErr w:type="spellStart"/>
      <w:r>
        <w:rPr>
          <w:rFonts w:eastAsiaTheme="minorEastAsia"/>
        </w:rPr>
        <w:t>GyroX</w:t>
      </w:r>
      <w:proofErr w:type="spellEnd"/>
      <w:r>
        <w:rPr>
          <w:rFonts w:eastAsiaTheme="minorEastAsia"/>
        </w:rPr>
        <w:t xml:space="preserve"> and </w:t>
      </w:r>
      <w:proofErr w:type="spellStart"/>
      <w:r>
        <w:rPr>
          <w:rFonts w:eastAsiaTheme="minorEastAsia"/>
        </w:rPr>
        <w:t>GyroY</w:t>
      </w:r>
      <w:proofErr w:type="spellEnd"/>
      <w:r>
        <w:rPr>
          <w:rFonts w:eastAsiaTheme="minorEastAsia"/>
        </w:rPr>
        <w:t>:</w:t>
      </w:r>
      <w:r>
        <w:rPr>
          <w:rFonts w:eastAsiaTheme="minorEastAsia"/>
        </w:rPr>
        <w:br/>
        <w:t>they are at address 0x43 as seen in the Register map</w:t>
      </w:r>
    </w:p>
    <w:p w14:paraId="23BEB98F" w14:textId="77777777" w:rsidR="00CE28E8" w:rsidRDefault="00CE28E8" w:rsidP="00CE28E8">
      <w:pPr>
        <w:pStyle w:val="ListParagraph"/>
        <w:numPr>
          <w:ilvl w:val="1"/>
          <w:numId w:val="3"/>
        </w:numPr>
      </w:pPr>
      <w:r>
        <w:t>0x43 - Gyro X (High Byte)</w:t>
      </w:r>
    </w:p>
    <w:p w14:paraId="66E1579F" w14:textId="77777777" w:rsidR="00CE28E8" w:rsidRDefault="00CE28E8" w:rsidP="00CE28E8">
      <w:pPr>
        <w:pStyle w:val="ListParagraph"/>
        <w:numPr>
          <w:ilvl w:val="1"/>
          <w:numId w:val="3"/>
        </w:numPr>
      </w:pPr>
      <w:r>
        <w:t>0x44 - Gyro X (Low Byte)</w:t>
      </w:r>
    </w:p>
    <w:p w14:paraId="6DEB6333" w14:textId="77777777" w:rsidR="00CE28E8" w:rsidRDefault="00CE28E8" w:rsidP="00CE28E8">
      <w:pPr>
        <w:pStyle w:val="ListParagraph"/>
        <w:numPr>
          <w:ilvl w:val="1"/>
          <w:numId w:val="3"/>
        </w:numPr>
      </w:pPr>
      <w:r>
        <w:t>0x45 - Gyro Y (High Byte)</w:t>
      </w:r>
    </w:p>
    <w:p w14:paraId="7A497FB4" w14:textId="77777777" w:rsidR="00CE28E8" w:rsidRDefault="00CE28E8" w:rsidP="00CE28E8">
      <w:pPr>
        <w:pStyle w:val="ListParagraph"/>
        <w:numPr>
          <w:ilvl w:val="1"/>
          <w:numId w:val="3"/>
        </w:numPr>
      </w:pPr>
      <w:r>
        <w:t>0x46 - Gyro Y (Low Byte)</w:t>
      </w:r>
    </w:p>
    <w:p w14:paraId="70B5170C" w14:textId="77777777" w:rsidR="00CE28E8" w:rsidRDefault="00CE28E8" w:rsidP="00CE28E8">
      <w:pPr>
        <w:pStyle w:val="ListParagraph"/>
        <w:numPr>
          <w:ilvl w:val="1"/>
          <w:numId w:val="3"/>
        </w:numPr>
      </w:pPr>
      <w:r>
        <w:t>0x47 - Gyro Z (High Byte)</w:t>
      </w:r>
    </w:p>
    <w:p w14:paraId="6E420E88" w14:textId="77777777" w:rsidR="00CE28E8" w:rsidRPr="00B05298" w:rsidRDefault="00CE28E8" w:rsidP="00CE28E8">
      <w:pPr>
        <w:pStyle w:val="ListParagraph"/>
        <w:numPr>
          <w:ilvl w:val="1"/>
          <w:numId w:val="3"/>
        </w:numPr>
      </w:pPr>
      <w:r>
        <w:t>0x48 - Gyro Z (Low Byte)</w:t>
      </w:r>
    </w:p>
    <w:p w14:paraId="77347C40" w14:textId="77777777" w:rsidR="00CE28E8" w:rsidRPr="00B05298" w:rsidRDefault="00CE28E8" w:rsidP="00CE28E8">
      <w:pPr>
        <w:pStyle w:val="ListParagraph"/>
        <w:numPr>
          <w:ilvl w:val="0"/>
          <w:numId w:val="3"/>
        </w:numPr>
      </w:pPr>
      <w:r>
        <w:rPr>
          <w:rFonts w:eastAsiaTheme="minorEastAsia"/>
        </w:rPr>
        <w:t xml:space="preserve">To convert the raw values into actual </w:t>
      </w:r>
      <w:proofErr w:type="spellStart"/>
      <w:r>
        <w:rPr>
          <w:rFonts w:eastAsiaTheme="minorEastAsia"/>
        </w:rPr>
        <w:t>GyroX</w:t>
      </w:r>
      <w:proofErr w:type="spellEnd"/>
      <w:r>
        <w:rPr>
          <w:rFonts w:eastAsiaTheme="minorEastAsia"/>
        </w:rPr>
        <w:t xml:space="preserve"> and </w:t>
      </w:r>
      <w:proofErr w:type="spellStart"/>
      <w:r>
        <w:rPr>
          <w:rFonts w:eastAsiaTheme="minorEastAsia"/>
        </w:rPr>
        <w:t>GyroY</w:t>
      </w:r>
      <w:proofErr w:type="spellEnd"/>
      <w:r>
        <w:rPr>
          <w:rFonts w:eastAsiaTheme="minorEastAsia"/>
        </w:rPr>
        <w:t>:</w:t>
      </w:r>
    </w:p>
    <w:p w14:paraId="338FA567" w14:textId="77777777" w:rsidR="00CE28E8" w:rsidRPr="00294892" w:rsidRDefault="00CE28E8" w:rsidP="00CE28E8">
      <w:pPr>
        <w:pStyle w:val="ListParagraph"/>
        <w:numPr>
          <w:ilvl w:val="1"/>
          <w:numId w:val="3"/>
        </w:numPr>
      </w:pPr>
      <w:r>
        <w:rPr>
          <w:rFonts w:eastAsiaTheme="minorEastAsia"/>
        </w:rPr>
        <w:t>We need to use the formula:</w:t>
      </w:r>
      <w:r>
        <w:rPr>
          <w:rFonts w:eastAsiaTheme="minorEastAsia"/>
        </w:rPr>
        <w:br/>
      </w:r>
      <m:oMathPara>
        <m:oMath>
          <m:r>
            <w:rPr>
              <w:rFonts w:ascii="Cambria Math" w:hAnsi="Cambria Math"/>
            </w:rPr>
            <m:t xml:space="preserve">Gyro=rawGyro / 131.0 </m:t>
          </m:r>
        </m:oMath>
      </m:oMathPara>
    </w:p>
    <w:p w14:paraId="28C92787" w14:textId="77777777" w:rsidR="00CE28E8" w:rsidRDefault="00CE28E8" w:rsidP="00CE28E8"/>
    <w:tbl>
      <w:tblPr>
        <w:tblStyle w:val="GridTable4-Accent4"/>
        <w:tblpPr w:leftFromText="180" w:rightFromText="180" w:vertAnchor="text" w:horzAnchor="margin" w:tblpXSpec="center" w:tblpY="1101"/>
        <w:tblW w:w="0" w:type="auto"/>
        <w:tblLook w:val="04A0" w:firstRow="1" w:lastRow="0" w:firstColumn="1" w:lastColumn="0" w:noHBand="0" w:noVBand="1"/>
      </w:tblPr>
      <w:tblGrid>
        <w:gridCol w:w="869"/>
        <w:gridCol w:w="1562"/>
      </w:tblGrid>
      <w:tr w:rsidR="00CE28E8" w:rsidRPr="00F4378B" w14:paraId="3B7E9C33" w14:textId="77777777" w:rsidTr="005D0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E27FB" w14:textId="77777777" w:rsidR="00CE28E8" w:rsidRPr="00F4378B" w:rsidRDefault="00CE28E8" w:rsidP="005D06A5">
            <w:pPr>
              <w:spacing w:after="160" w:line="278" w:lineRule="auto"/>
            </w:pPr>
            <w:r w:rsidRPr="00F4378B">
              <w:t>Name</w:t>
            </w:r>
          </w:p>
        </w:tc>
        <w:tc>
          <w:tcPr>
            <w:tcW w:w="0" w:type="auto"/>
            <w:hideMark/>
          </w:tcPr>
          <w:p w14:paraId="7C509C06" w14:textId="77777777" w:rsidR="00CE28E8" w:rsidRPr="00F4378B" w:rsidRDefault="00CE28E8" w:rsidP="005D06A5">
            <w:pPr>
              <w:spacing w:after="160" w:line="278" w:lineRule="auto"/>
              <w:cnfStyle w:val="100000000000" w:firstRow="1" w:lastRow="0" w:firstColumn="0" w:lastColumn="0" w:oddVBand="0" w:evenVBand="0" w:oddHBand="0" w:evenHBand="0" w:firstRowFirstColumn="0" w:firstRowLastColumn="0" w:lastRowFirstColumn="0" w:lastRowLastColumn="0"/>
            </w:pPr>
            <w:r w:rsidRPr="00F4378B">
              <w:t>Description</w:t>
            </w:r>
          </w:p>
        </w:tc>
      </w:tr>
      <w:tr w:rsidR="00CE28E8" w:rsidRPr="00F4378B" w14:paraId="2D6285DD" w14:textId="77777777" w:rsidTr="005D0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B1A7C" w14:textId="77777777" w:rsidR="00CE28E8" w:rsidRPr="00F4378B" w:rsidRDefault="00CE28E8" w:rsidP="005D06A5">
            <w:pPr>
              <w:spacing w:after="160" w:line="278" w:lineRule="auto"/>
            </w:pPr>
            <w:r w:rsidRPr="00F4378B">
              <w:t>R</w:t>
            </w:r>
          </w:p>
        </w:tc>
        <w:tc>
          <w:tcPr>
            <w:tcW w:w="0" w:type="auto"/>
            <w:hideMark/>
          </w:tcPr>
          <w:p w14:paraId="0D73C53E" w14:textId="77777777" w:rsidR="00CE28E8" w:rsidRPr="00F4378B" w:rsidRDefault="00CE28E8" w:rsidP="005D06A5">
            <w:pPr>
              <w:spacing w:after="160" w:line="278" w:lineRule="auto"/>
              <w:cnfStyle w:val="000000100000" w:firstRow="0" w:lastRow="0" w:firstColumn="0" w:lastColumn="0" w:oddVBand="0" w:evenVBand="0" w:oddHBand="1" w:evenHBand="0" w:firstRowFirstColumn="0" w:firstRowLastColumn="0" w:lastRowFirstColumn="0" w:lastRowLastColumn="0"/>
            </w:pPr>
            <w:r w:rsidRPr="00F4378B">
              <w:t>Red LED</w:t>
            </w:r>
          </w:p>
        </w:tc>
      </w:tr>
      <w:tr w:rsidR="00CE28E8" w:rsidRPr="00F4378B" w14:paraId="41E4CA4C" w14:textId="77777777" w:rsidTr="005D06A5">
        <w:tc>
          <w:tcPr>
            <w:cnfStyle w:val="001000000000" w:firstRow="0" w:lastRow="0" w:firstColumn="1" w:lastColumn="0" w:oddVBand="0" w:evenVBand="0" w:oddHBand="0" w:evenHBand="0" w:firstRowFirstColumn="0" w:firstRowLastColumn="0" w:lastRowFirstColumn="0" w:lastRowLastColumn="0"/>
            <w:tcW w:w="0" w:type="auto"/>
            <w:hideMark/>
          </w:tcPr>
          <w:p w14:paraId="37B62B74" w14:textId="77777777" w:rsidR="00CE28E8" w:rsidRPr="00F4378B" w:rsidRDefault="00CE28E8" w:rsidP="005D06A5">
            <w:pPr>
              <w:spacing w:after="160" w:line="278" w:lineRule="auto"/>
            </w:pPr>
            <w:r w:rsidRPr="00F4378B">
              <w:t>G</w:t>
            </w:r>
          </w:p>
        </w:tc>
        <w:tc>
          <w:tcPr>
            <w:tcW w:w="0" w:type="auto"/>
            <w:hideMark/>
          </w:tcPr>
          <w:p w14:paraId="62ADD582" w14:textId="77777777" w:rsidR="00CE28E8" w:rsidRPr="00F4378B" w:rsidRDefault="00CE28E8" w:rsidP="005D06A5">
            <w:pPr>
              <w:spacing w:after="160" w:line="278" w:lineRule="auto"/>
              <w:cnfStyle w:val="000000000000" w:firstRow="0" w:lastRow="0" w:firstColumn="0" w:lastColumn="0" w:oddVBand="0" w:evenVBand="0" w:oddHBand="0" w:evenHBand="0" w:firstRowFirstColumn="0" w:firstRowLastColumn="0" w:lastRowFirstColumn="0" w:lastRowLastColumn="0"/>
            </w:pPr>
            <w:r w:rsidRPr="00F4378B">
              <w:t>Green LED</w:t>
            </w:r>
          </w:p>
        </w:tc>
      </w:tr>
      <w:tr w:rsidR="00CE28E8" w:rsidRPr="00F4378B" w14:paraId="2461A8AF" w14:textId="77777777" w:rsidTr="005D0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198EF" w14:textId="77777777" w:rsidR="00CE28E8" w:rsidRPr="00F4378B" w:rsidRDefault="00CE28E8" w:rsidP="005D06A5">
            <w:pPr>
              <w:spacing w:after="160" w:line="278" w:lineRule="auto"/>
            </w:pPr>
            <w:r w:rsidRPr="00F4378B">
              <w:t>B</w:t>
            </w:r>
          </w:p>
        </w:tc>
        <w:tc>
          <w:tcPr>
            <w:tcW w:w="0" w:type="auto"/>
            <w:hideMark/>
          </w:tcPr>
          <w:p w14:paraId="66C4BBB3" w14:textId="77777777" w:rsidR="00CE28E8" w:rsidRPr="00F4378B" w:rsidRDefault="00CE28E8" w:rsidP="005D06A5">
            <w:pPr>
              <w:spacing w:after="160" w:line="278" w:lineRule="auto"/>
              <w:cnfStyle w:val="000000100000" w:firstRow="0" w:lastRow="0" w:firstColumn="0" w:lastColumn="0" w:oddVBand="0" w:evenVBand="0" w:oddHBand="1" w:evenHBand="0" w:firstRowFirstColumn="0" w:firstRowLastColumn="0" w:lastRowFirstColumn="0" w:lastRowLastColumn="0"/>
            </w:pPr>
            <w:r w:rsidRPr="00F4378B">
              <w:t>Blue LED</w:t>
            </w:r>
          </w:p>
        </w:tc>
      </w:tr>
      <w:tr w:rsidR="00CE28E8" w:rsidRPr="00F4378B" w14:paraId="49E392E1" w14:textId="77777777" w:rsidTr="005D06A5">
        <w:tc>
          <w:tcPr>
            <w:cnfStyle w:val="001000000000" w:firstRow="0" w:lastRow="0" w:firstColumn="1" w:lastColumn="0" w:oddVBand="0" w:evenVBand="0" w:oddHBand="0" w:evenHBand="0" w:firstRowFirstColumn="0" w:firstRowLastColumn="0" w:lastRowFirstColumn="0" w:lastRowLastColumn="0"/>
            <w:tcW w:w="0" w:type="auto"/>
            <w:hideMark/>
          </w:tcPr>
          <w:p w14:paraId="5190FAAB" w14:textId="77777777" w:rsidR="00CE28E8" w:rsidRPr="00F4378B" w:rsidRDefault="00CE28E8" w:rsidP="005D06A5">
            <w:pPr>
              <w:spacing w:after="160" w:line="278" w:lineRule="auto"/>
            </w:pPr>
            <w:r w:rsidRPr="00F4378B">
              <w:t>COM</w:t>
            </w:r>
          </w:p>
        </w:tc>
        <w:tc>
          <w:tcPr>
            <w:tcW w:w="0" w:type="auto"/>
            <w:hideMark/>
          </w:tcPr>
          <w:p w14:paraId="41ED5BB2" w14:textId="77777777" w:rsidR="00CE28E8" w:rsidRPr="00F4378B" w:rsidRDefault="00CE28E8" w:rsidP="005D06A5">
            <w:pPr>
              <w:spacing w:after="160" w:line="278" w:lineRule="auto"/>
              <w:cnfStyle w:val="000000000000" w:firstRow="0" w:lastRow="0" w:firstColumn="0" w:lastColumn="0" w:oddVBand="0" w:evenVBand="0" w:oddHBand="0" w:evenHBand="0" w:firstRowFirstColumn="0" w:firstRowLastColumn="0" w:lastRowFirstColumn="0" w:lastRowLastColumn="0"/>
            </w:pPr>
            <w:r w:rsidRPr="00F4378B">
              <w:t>Common pin</w:t>
            </w:r>
          </w:p>
        </w:tc>
      </w:tr>
    </w:tbl>
    <w:p w14:paraId="3A86AC10" w14:textId="77777777" w:rsidR="00CE28E8" w:rsidRDefault="00CE28E8" w:rsidP="00CE28E8">
      <w:pPr>
        <w:pStyle w:val="Heading2"/>
      </w:pPr>
      <w:r>
        <w:t xml:space="preserve"> RGB-LED:</w:t>
      </w:r>
    </w:p>
    <w:p w14:paraId="5B83B1FC" w14:textId="77777777" w:rsidR="00CE28E8" w:rsidRPr="00212021" w:rsidRDefault="00CE28E8" w:rsidP="00CE28E8">
      <w:r>
        <w:t xml:space="preserve">Source: </w:t>
      </w:r>
      <w:hyperlink r:id="rId8" w:history="1">
        <w:r w:rsidRPr="002951F8">
          <w:rPr>
            <w:rStyle w:val="Hyperlink"/>
          </w:rPr>
          <w:t>https://docs.wokwi.com/parts/wokwi-rgb-led</w:t>
        </w:r>
      </w:hyperlink>
      <w:r>
        <w:t xml:space="preserve"> </w:t>
      </w:r>
    </w:p>
    <w:p w14:paraId="664FF805" w14:textId="77777777" w:rsidR="00CE28E8" w:rsidRDefault="00CE28E8" w:rsidP="00CE28E8">
      <w:r w:rsidRPr="00F4378B">
        <w:rPr>
          <w:noProof/>
        </w:rPr>
        <w:drawing>
          <wp:inline distT="0" distB="0" distL="0" distR="0" wp14:anchorId="3FBE4E6C" wp14:editId="02D36419">
            <wp:extent cx="1458227" cy="1601190"/>
            <wp:effectExtent l="0" t="0" r="8890" b="0"/>
            <wp:docPr id="93189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4228" name=""/>
                    <pic:cNvPicPr/>
                  </pic:nvPicPr>
                  <pic:blipFill>
                    <a:blip r:embed="rId9"/>
                    <a:stretch>
                      <a:fillRect/>
                    </a:stretch>
                  </pic:blipFill>
                  <pic:spPr>
                    <a:xfrm>
                      <a:off x="0" y="0"/>
                      <a:ext cx="1462375" cy="1605745"/>
                    </a:xfrm>
                    <a:prstGeom prst="rect">
                      <a:avLst/>
                    </a:prstGeom>
                  </pic:spPr>
                </pic:pic>
              </a:graphicData>
            </a:graphic>
          </wp:inline>
        </w:drawing>
      </w:r>
    </w:p>
    <w:p w14:paraId="24EAD21A" w14:textId="77777777" w:rsidR="00CE28E8" w:rsidRDefault="00CE28E8" w:rsidP="00CE28E8">
      <w:pPr>
        <w:pStyle w:val="ListParagraph"/>
        <w:numPr>
          <w:ilvl w:val="0"/>
          <w:numId w:val="1"/>
        </w:numPr>
      </w:pPr>
      <w:r w:rsidRPr="00F4378B">
        <w:t>By default, the common pin is the anode (positive). You can change it by setting the "common" attribute to "cathode".</w:t>
      </w:r>
    </w:p>
    <w:p w14:paraId="5F8AF3B4" w14:textId="77777777" w:rsidR="00CE28E8" w:rsidRDefault="00CE28E8" w:rsidP="00CE28E8">
      <w:r>
        <w:t xml:space="preserve">You can just change the R G B values separately from 0-255 to get your desired </w:t>
      </w:r>
      <w:proofErr w:type="spellStart"/>
      <w:r>
        <w:t>color</w:t>
      </w:r>
      <w:proofErr w:type="spellEnd"/>
      <w:r>
        <w:t>.</w:t>
      </w:r>
    </w:p>
    <w:p w14:paraId="70B42C6F" w14:textId="77777777" w:rsidR="00CE28E8" w:rsidRDefault="00CE28E8" w:rsidP="00CE28E8">
      <w:pPr>
        <w:pStyle w:val="Heading2"/>
      </w:pPr>
      <w:r>
        <w:t>Buzzer:</w:t>
      </w:r>
    </w:p>
    <w:p w14:paraId="4B199BAE" w14:textId="77777777" w:rsidR="00CE28E8" w:rsidRPr="00307784" w:rsidRDefault="00CE28E8" w:rsidP="00CE28E8"/>
    <w:p w14:paraId="77756D8E" w14:textId="77777777" w:rsidR="003872CE" w:rsidRDefault="003872CE"/>
    <w:sectPr w:rsidR="00387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92995"/>
    <w:multiLevelType w:val="hybridMultilevel"/>
    <w:tmpl w:val="0D38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3F6E5F"/>
    <w:multiLevelType w:val="hybridMultilevel"/>
    <w:tmpl w:val="179E8F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D97F2F"/>
    <w:multiLevelType w:val="hybridMultilevel"/>
    <w:tmpl w:val="7DFE0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1531231">
    <w:abstractNumId w:val="0"/>
  </w:num>
  <w:num w:numId="2" w16cid:durableId="582758639">
    <w:abstractNumId w:val="2"/>
  </w:num>
  <w:num w:numId="3" w16cid:durableId="1017315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8E8"/>
    <w:rsid w:val="003872CE"/>
    <w:rsid w:val="00BF2677"/>
    <w:rsid w:val="00CE28E8"/>
    <w:rsid w:val="00DF4DE1"/>
    <w:rsid w:val="00FE7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7A15"/>
  <w15:chartTrackingRefBased/>
  <w15:docId w15:val="{1F75B795-B1B9-4CC1-8CB8-D59D25F98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8E8"/>
  </w:style>
  <w:style w:type="paragraph" w:styleId="Heading1">
    <w:name w:val="heading 1"/>
    <w:basedOn w:val="Normal"/>
    <w:next w:val="Normal"/>
    <w:link w:val="Heading1Char"/>
    <w:uiPriority w:val="9"/>
    <w:qFormat/>
    <w:rsid w:val="00CE2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8E8"/>
    <w:rPr>
      <w:rFonts w:eastAsiaTheme="majorEastAsia" w:cstheme="majorBidi"/>
      <w:color w:val="272727" w:themeColor="text1" w:themeTint="D8"/>
    </w:rPr>
  </w:style>
  <w:style w:type="paragraph" w:styleId="Title">
    <w:name w:val="Title"/>
    <w:basedOn w:val="Normal"/>
    <w:next w:val="Normal"/>
    <w:link w:val="TitleChar"/>
    <w:uiPriority w:val="10"/>
    <w:qFormat/>
    <w:rsid w:val="00CE2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8E8"/>
    <w:pPr>
      <w:spacing w:before="160"/>
      <w:jc w:val="center"/>
    </w:pPr>
    <w:rPr>
      <w:i/>
      <w:iCs/>
      <w:color w:val="404040" w:themeColor="text1" w:themeTint="BF"/>
    </w:rPr>
  </w:style>
  <w:style w:type="character" w:customStyle="1" w:styleId="QuoteChar">
    <w:name w:val="Quote Char"/>
    <w:basedOn w:val="DefaultParagraphFont"/>
    <w:link w:val="Quote"/>
    <w:uiPriority w:val="29"/>
    <w:rsid w:val="00CE28E8"/>
    <w:rPr>
      <w:i/>
      <w:iCs/>
      <w:color w:val="404040" w:themeColor="text1" w:themeTint="BF"/>
    </w:rPr>
  </w:style>
  <w:style w:type="paragraph" w:styleId="ListParagraph">
    <w:name w:val="List Paragraph"/>
    <w:basedOn w:val="Normal"/>
    <w:uiPriority w:val="34"/>
    <w:qFormat/>
    <w:rsid w:val="00CE28E8"/>
    <w:pPr>
      <w:ind w:left="720"/>
      <w:contextualSpacing/>
    </w:pPr>
  </w:style>
  <w:style w:type="character" w:styleId="IntenseEmphasis">
    <w:name w:val="Intense Emphasis"/>
    <w:basedOn w:val="DefaultParagraphFont"/>
    <w:uiPriority w:val="21"/>
    <w:qFormat/>
    <w:rsid w:val="00CE28E8"/>
    <w:rPr>
      <w:i/>
      <w:iCs/>
      <w:color w:val="0F4761" w:themeColor="accent1" w:themeShade="BF"/>
    </w:rPr>
  </w:style>
  <w:style w:type="paragraph" w:styleId="IntenseQuote">
    <w:name w:val="Intense Quote"/>
    <w:basedOn w:val="Normal"/>
    <w:next w:val="Normal"/>
    <w:link w:val="IntenseQuoteChar"/>
    <w:uiPriority w:val="30"/>
    <w:qFormat/>
    <w:rsid w:val="00CE2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8E8"/>
    <w:rPr>
      <w:i/>
      <w:iCs/>
      <w:color w:val="0F4761" w:themeColor="accent1" w:themeShade="BF"/>
    </w:rPr>
  </w:style>
  <w:style w:type="character" w:styleId="IntenseReference">
    <w:name w:val="Intense Reference"/>
    <w:basedOn w:val="DefaultParagraphFont"/>
    <w:uiPriority w:val="32"/>
    <w:qFormat/>
    <w:rsid w:val="00CE28E8"/>
    <w:rPr>
      <w:b/>
      <w:bCs/>
      <w:smallCaps/>
      <w:color w:val="0F4761" w:themeColor="accent1" w:themeShade="BF"/>
      <w:spacing w:val="5"/>
    </w:rPr>
  </w:style>
  <w:style w:type="character" w:styleId="Hyperlink">
    <w:name w:val="Hyperlink"/>
    <w:basedOn w:val="DefaultParagraphFont"/>
    <w:uiPriority w:val="99"/>
    <w:unhideWhenUsed/>
    <w:rsid w:val="00CE28E8"/>
    <w:rPr>
      <w:color w:val="467886" w:themeColor="hyperlink"/>
      <w:u w:val="single"/>
    </w:rPr>
  </w:style>
  <w:style w:type="table" w:styleId="GridTable4-Accent4">
    <w:name w:val="Grid Table 4 Accent 4"/>
    <w:basedOn w:val="TableNormal"/>
    <w:uiPriority w:val="49"/>
    <w:rsid w:val="00CE28E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wokwi.com/parts/wokwi-rgb-led"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iweb.com/datasheets/invensense/mpu-6050_datasheet_v3%204.pdf" TargetMode="External"/><Relationship Id="rId11" Type="http://schemas.openxmlformats.org/officeDocument/2006/relationships/theme" Target="theme/theme1.xml"/><Relationship Id="rId5" Type="http://schemas.openxmlformats.org/officeDocument/2006/relationships/hyperlink" Target="https://cdn.sparkfun.com/datasheets/Sensors/Accelerometers/RM-MPU-6000A.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Mallapuram Vishwanad</dc:creator>
  <cp:keywords/>
  <dc:description/>
  <cp:lastModifiedBy>Mallapuram Vishwanad</cp:lastModifiedBy>
  <cp:revision>1</cp:revision>
  <dcterms:created xsi:type="dcterms:W3CDTF">2026-06-06T17:04:00Z</dcterms:created>
  <dcterms:modified xsi:type="dcterms:W3CDTF">2026-06-06T17:08:00Z</dcterms:modified>
</cp:coreProperties>
</file>