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b w:val="1"/>
          <w:bCs w:val="1"/>
          <w:rtl w:val="0"/>
        </w:rPr>
        <w:t xml:space="preserve">LEVEL 1:</w:t>
      </w:r>
      <w:r w:rsidDel="00000000" w:rsidR="00000000" w:rsidRPr="00000000">
        <w:rPr>
          <w:rtl w:val="0"/>
        </w:rPr>
        <w:t xml:space="preserve"> Seismic Feedback and Safety Interlocks</w:t>
      </w:r>
    </w:p>
    <w:p w:rsidR="00000000" w:rsidDel="00000000" w:rsidP="00000000" w:rsidRDefault="00000000" w:rsidRPr="00000000" w14:paraId="00000002">
      <w:pPr>
        <w:rPr/>
      </w:pPr>
      <w:r w:rsidDel="00000000" w:rsidR="00000000" w:rsidRPr="00000000">
        <w:rPr>
          <w:b w:val="1"/>
          <w:bCs w:val="1"/>
          <w:rtl w:val="0"/>
        </w:rPr>
        <w:t xml:space="preserve">AIM</w:t>
      </w:r>
      <w:r w:rsidDel="00000000" w:rsidR="00000000" w:rsidRPr="00000000">
        <w:rPr>
          <w:rtl w:val="0"/>
        </w:rPr>
        <w:t xml:space="preserve">:</w:t>
      </w:r>
    </w:p>
    <w:p w:rsidR="00000000" w:rsidDel="00000000" w:rsidP="00000000" w:rsidRDefault="00000000" w:rsidRPr="00000000" w14:paraId="00000003">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Assume a MPU6050 is mounted directly to the drill head. You must read the gyroscope data to detect "rock hardness" through vibrations and sudden jerks. Calculate the magnitude of the jerk using the formula:</w:t>
        <w:br w:type="textWrapping"/>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Jerk= </m:t>
        </m:r>
        <m:rad>
          <m:radPr>
            <m:degHide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radPr>
          <m:e>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(GyroX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GyroY</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e>
        </m:ra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this calculated Jerk exceeds a predefined threshold, the system registers a hard rock strike. As vibrations increase, the drill heats up; map the RGB LED to the Jerk magnitude, ranging from Blue (cool/smooth drilling) to Red (hot/hard rock). </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RGB LED turns pure red (maximum vibration threshold), the system must instantly freeze the Stepper Motor, trigger the Buzzer, display "HARD ROCK HIT!" on the OLED, and return to the main menu. </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user re-enters "Control Drill" while the drill is still jammed, downward inputs must be blocked and "WARNING: DRILL STUCK" displayed — only upward (retract) inputs are allowed. Once the user retracts the drill fully clear of the rock, the jam state resets and the drill can descend again normally.</w:t>
      </w:r>
    </w:p>
    <w:p w:rsidR="00000000" w:rsidDel="00000000" w:rsidP="00000000" w:rsidRDefault="00000000" w:rsidRPr="00000000" w14:paraId="00000007">
      <w:pPr>
        <w:pStyle w:val="Heading1"/>
        <w:rPr/>
      </w:pPr>
      <w:r w:rsidDel="00000000" w:rsidR="00000000" w:rsidRPr="00000000">
        <w:rPr>
          <w:rtl w:val="0"/>
        </w:rPr>
        <w:t xml:space="preserve">Interfacing:</w:t>
      </w:r>
    </w:p>
    <w:p w:rsidR="00000000" w:rsidDel="00000000" w:rsidP="00000000" w:rsidRDefault="00000000" w:rsidRPr="00000000" w14:paraId="00000008">
      <w:pPr>
        <w:pStyle w:val="Heading2"/>
        <w:rPr/>
      </w:pPr>
      <w:r w:rsidDel="00000000" w:rsidR="00000000" w:rsidRPr="00000000">
        <w:rPr>
          <w:rtl w:val="0"/>
        </w:rPr>
        <w:t xml:space="preserve">MPU6050:</w:t>
      </w:r>
    </w:p>
    <w:p w:rsidR="00000000" w:rsidDel="00000000" w:rsidP="00000000" w:rsidRDefault="00000000" w:rsidRPr="00000000" w14:paraId="00000009">
      <w:pPr>
        <w:rPr/>
      </w:pPr>
      <w:r w:rsidDel="00000000" w:rsidR="00000000" w:rsidRPr="00000000">
        <w:rPr>
          <w:rtl w:val="0"/>
        </w:rPr>
        <w:t xml:space="preserve">Sources: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Register Map: </w:t>
      </w:r>
      <w:hyperlink r:id="rId7">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https://cdn.sparkfun.com/datasheets/Sensors/Accelerometers/RM-MPU-6000A.pdf</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Datasheet: </w:t>
      </w:r>
      <w:hyperlink r:id="rId8">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https://www.cdiweb.com/datasheets/invensense/mpu-6050_datasheet_v3%204.pdf</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jc w:val="center"/>
        <w:rPr/>
      </w:pPr>
      <w:r w:rsidDel="00000000" w:rsidR="00000000" w:rsidRPr="00000000">
        <w:rPr/>
        <w:drawing>
          <wp:inline distB="0" distT="0" distL="0" distR="0">
            <wp:extent cx="1745872" cy="13254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rot="16200000">
                      <a:off x="0" y="0"/>
                      <a:ext cx="1745872" cy="1325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Follows I2C Protocol</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know: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Jerk= </m:t>
        </m:r>
        <m:rad>
          <m:radPr>
            <m:degHide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radPr>
          <m:e>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(GyroX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GyroY</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e>
        </m:ra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only need GyroX and GyroY:</w:t>
        <w:br w:type="textWrapping"/>
        <w:t xml:space="preserve">they are at address 0x43 as seen in the Register map</w:t>
      </w:r>
    </w:p>
    <w:p w:rsidR="00000000" w:rsidDel="00000000" w:rsidP="00000000" w:rsidRDefault="00000000" w:rsidRPr="00000000" w14:paraId="0000001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0x43 - Gyro X (High Byte)</w:t>
      </w:r>
    </w:p>
    <w:p w:rsidR="00000000" w:rsidDel="00000000" w:rsidP="00000000" w:rsidRDefault="00000000" w:rsidRPr="00000000" w14:paraId="0000001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0x44 - Gyro X (Low Byte)</w:t>
      </w:r>
    </w:p>
    <w:p w:rsidR="00000000" w:rsidDel="00000000" w:rsidP="00000000" w:rsidRDefault="00000000" w:rsidRPr="00000000" w14:paraId="0000001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0x45 - Gyro Y (High Byte)</w:t>
      </w:r>
    </w:p>
    <w:p w:rsidR="00000000" w:rsidDel="00000000" w:rsidP="00000000" w:rsidRDefault="00000000" w:rsidRPr="00000000" w14:paraId="000000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0x46 - Gyro Y (Low Byte)</w:t>
      </w:r>
    </w:p>
    <w:p w:rsidR="00000000" w:rsidDel="00000000" w:rsidP="00000000" w:rsidRDefault="00000000" w:rsidRPr="00000000" w14:paraId="0000001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0x47 - Gyro Z (High Byte)</w:t>
      </w:r>
    </w:p>
    <w:p w:rsidR="00000000" w:rsidDel="00000000" w:rsidP="00000000" w:rsidRDefault="00000000" w:rsidRPr="00000000" w14:paraId="0000001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0x48 - Gyro Z (Low Byte)</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convert the raw values into actual GyroX and GyroY:</w:t>
      </w:r>
    </w:p>
    <w:p w:rsidR="00000000" w:rsidDel="00000000" w:rsidP="00000000" w:rsidRDefault="00000000" w:rsidRPr="00000000" w14:paraId="00000017">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need to use the formula:</w:t>
        <w:br w:type="textWrapping"/>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Gyro=rawGyro / 131.0 </m:t>
        </m:r>
      </m:oMath>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1"/>
        <w:tblpPr w:leftFromText="180" w:rightFromText="180" w:topFromText="0" w:bottomFromText="0" w:vertAnchor="text" w:horzAnchor="text" w:tblpX="3297.4999999999995" w:tblpY="1101"/>
        <w:tblW w:w="2431.0" w:type="dxa"/>
        <w:jc w:val="left"/>
        <w:tblBorders>
          <w:top w:color="60cbf3" w:space="0" w:sz="4" w:val="single"/>
          <w:left w:color="60cbf3" w:space="0" w:sz="4" w:val="single"/>
          <w:bottom w:color="60cbf3" w:space="0" w:sz="4" w:val="single"/>
          <w:right w:color="60cbf3" w:space="0" w:sz="4" w:val="single"/>
          <w:insideH w:color="60cbf3" w:space="0" w:sz="4" w:val="single"/>
          <w:insideV w:color="60cbf3" w:space="0" w:sz="4" w:val="single"/>
        </w:tblBorders>
        <w:tblLayout w:type="fixed"/>
        <w:tblLook w:val="04A0"/>
      </w:tblPr>
      <w:tblGrid>
        <w:gridCol w:w="869"/>
        <w:gridCol w:w="1562"/>
        <w:tblGridChange w:id="0">
          <w:tblGrid>
            <w:gridCol w:w="869"/>
            <w:gridCol w:w="1562"/>
          </w:tblGrid>
        </w:tblGridChange>
      </w:tblGrid>
      <w:tr>
        <w:trPr>
          <w:cantSplit w:val="0"/>
          <w:tblHeader w:val="0"/>
        </w:trPr>
        <w:tc>
          <w:tcPr/>
          <w:p w:rsidR="00000000" w:rsidDel="00000000" w:rsidP="00000000" w:rsidRDefault="00000000" w:rsidRPr="00000000" w14:paraId="00000019">
            <w:pPr>
              <w:spacing w:after="160" w:line="278.00000000000006" w:lineRule="auto"/>
              <w:rPr/>
            </w:pPr>
            <w:r w:rsidDel="00000000" w:rsidR="00000000" w:rsidRPr="00000000">
              <w:rPr>
                <w:rtl w:val="0"/>
              </w:rPr>
              <w:t xml:space="preserve">Name</w:t>
            </w:r>
          </w:p>
        </w:tc>
        <w:tc>
          <w:tcPr/>
          <w:p w:rsidR="00000000" w:rsidDel="00000000" w:rsidP="00000000" w:rsidRDefault="00000000" w:rsidRPr="00000000" w14:paraId="0000001A">
            <w:pPr>
              <w:spacing w:after="160" w:line="278.00000000000006"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1B">
            <w:pPr>
              <w:spacing w:after="160" w:line="278.00000000000006" w:lineRule="auto"/>
              <w:rPr/>
            </w:pPr>
            <w:r w:rsidDel="00000000" w:rsidR="00000000" w:rsidRPr="00000000">
              <w:rPr>
                <w:rtl w:val="0"/>
              </w:rPr>
              <w:t xml:space="preserve">R</w:t>
            </w:r>
          </w:p>
        </w:tc>
        <w:tc>
          <w:tcPr/>
          <w:p w:rsidR="00000000" w:rsidDel="00000000" w:rsidP="00000000" w:rsidRDefault="00000000" w:rsidRPr="00000000" w14:paraId="0000001C">
            <w:pPr>
              <w:spacing w:after="160" w:line="278.00000000000006" w:lineRule="auto"/>
              <w:rPr/>
            </w:pPr>
            <w:r w:rsidDel="00000000" w:rsidR="00000000" w:rsidRPr="00000000">
              <w:rPr>
                <w:rtl w:val="0"/>
              </w:rPr>
              <w:t xml:space="preserve">Red LED</w:t>
            </w:r>
          </w:p>
        </w:tc>
      </w:tr>
      <w:tr>
        <w:trPr>
          <w:cantSplit w:val="0"/>
          <w:tblHeader w:val="0"/>
        </w:trPr>
        <w:tc>
          <w:tcPr/>
          <w:p w:rsidR="00000000" w:rsidDel="00000000" w:rsidP="00000000" w:rsidRDefault="00000000" w:rsidRPr="00000000" w14:paraId="0000001D">
            <w:pPr>
              <w:spacing w:after="160" w:line="278.00000000000006" w:lineRule="auto"/>
              <w:rPr/>
            </w:pPr>
            <w:r w:rsidDel="00000000" w:rsidR="00000000" w:rsidRPr="00000000">
              <w:rPr>
                <w:rtl w:val="0"/>
              </w:rPr>
              <w:t xml:space="preserve">G</w:t>
            </w:r>
          </w:p>
        </w:tc>
        <w:tc>
          <w:tcPr/>
          <w:p w:rsidR="00000000" w:rsidDel="00000000" w:rsidP="00000000" w:rsidRDefault="00000000" w:rsidRPr="00000000" w14:paraId="0000001E">
            <w:pPr>
              <w:spacing w:after="160" w:line="278.00000000000006" w:lineRule="auto"/>
              <w:rPr/>
            </w:pPr>
            <w:r w:rsidDel="00000000" w:rsidR="00000000" w:rsidRPr="00000000">
              <w:rPr>
                <w:rtl w:val="0"/>
              </w:rPr>
              <w:t xml:space="preserve">Green LED</w:t>
            </w:r>
          </w:p>
        </w:tc>
      </w:tr>
      <w:tr>
        <w:trPr>
          <w:cantSplit w:val="0"/>
          <w:tblHeader w:val="0"/>
        </w:trPr>
        <w:tc>
          <w:tcPr/>
          <w:p w:rsidR="00000000" w:rsidDel="00000000" w:rsidP="00000000" w:rsidRDefault="00000000" w:rsidRPr="00000000" w14:paraId="0000001F">
            <w:pPr>
              <w:spacing w:after="160" w:line="278.00000000000006" w:lineRule="auto"/>
              <w:rPr/>
            </w:pPr>
            <w:r w:rsidDel="00000000" w:rsidR="00000000" w:rsidRPr="00000000">
              <w:rPr>
                <w:rtl w:val="0"/>
              </w:rPr>
              <w:t xml:space="preserve">B</w:t>
            </w:r>
          </w:p>
        </w:tc>
        <w:tc>
          <w:tcPr/>
          <w:p w:rsidR="00000000" w:rsidDel="00000000" w:rsidP="00000000" w:rsidRDefault="00000000" w:rsidRPr="00000000" w14:paraId="00000020">
            <w:pPr>
              <w:spacing w:after="160" w:line="278.00000000000006" w:lineRule="auto"/>
              <w:rPr/>
            </w:pPr>
            <w:r w:rsidDel="00000000" w:rsidR="00000000" w:rsidRPr="00000000">
              <w:rPr>
                <w:rtl w:val="0"/>
              </w:rPr>
              <w:t xml:space="preserve">Blue LED</w:t>
            </w:r>
          </w:p>
        </w:tc>
      </w:tr>
      <w:tr>
        <w:trPr>
          <w:cantSplit w:val="0"/>
          <w:tblHeader w:val="0"/>
        </w:trPr>
        <w:tc>
          <w:tcPr/>
          <w:p w:rsidR="00000000" w:rsidDel="00000000" w:rsidP="00000000" w:rsidRDefault="00000000" w:rsidRPr="00000000" w14:paraId="00000021">
            <w:pPr>
              <w:spacing w:after="160" w:line="278.00000000000006" w:lineRule="auto"/>
              <w:rPr/>
            </w:pPr>
            <w:r w:rsidDel="00000000" w:rsidR="00000000" w:rsidRPr="00000000">
              <w:rPr>
                <w:rtl w:val="0"/>
              </w:rPr>
              <w:t xml:space="preserve">COM</w:t>
            </w:r>
          </w:p>
        </w:tc>
        <w:tc>
          <w:tcPr/>
          <w:p w:rsidR="00000000" w:rsidDel="00000000" w:rsidP="00000000" w:rsidRDefault="00000000" w:rsidRPr="00000000" w14:paraId="00000022">
            <w:pPr>
              <w:spacing w:after="160" w:line="278.00000000000006" w:lineRule="auto"/>
              <w:rPr/>
            </w:pPr>
            <w:r w:rsidDel="00000000" w:rsidR="00000000" w:rsidRPr="00000000">
              <w:rPr>
                <w:rtl w:val="0"/>
              </w:rPr>
              <w:t xml:space="preserve">Common pin</w:t>
            </w:r>
          </w:p>
        </w:tc>
      </w:tr>
    </w:tbl>
    <w:p w:rsidR="00000000" w:rsidDel="00000000" w:rsidP="00000000" w:rsidRDefault="00000000" w:rsidRPr="00000000" w14:paraId="00000023">
      <w:pPr>
        <w:pStyle w:val="Heading2"/>
        <w:rPr/>
      </w:pPr>
      <w:r w:rsidDel="00000000" w:rsidR="00000000" w:rsidRPr="00000000">
        <w:rPr>
          <w:rtl w:val="0"/>
        </w:rPr>
        <w:t xml:space="preserve"> RGB-LED:</w:t>
      </w:r>
    </w:p>
    <w:p w:rsidR="00000000" w:rsidDel="00000000" w:rsidP="00000000" w:rsidRDefault="00000000" w:rsidRPr="00000000" w14:paraId="00000024">
      <w:pPr>
        <w:rPr/>
      </w:pPr>
      <w:r w:rsidDel="00000000" w:rsidR="00000000" w:rsidRPr="00000000">
        <w:rPr>
          <w:rtl w:val="0"/>
        </w:rPr>
        <w:t xml:space="preserve">Source: </w:t>
      </w:r>
      <w:hyperlink r:id="rId10">
        <w:r w:rsidDel="00000000" w:rsidR="00000000" w:rsidRPr="00000000">
          <w:rPr>
            <w:color w:val="467886"/>
            <w:u w:val="single"/>
            <w:rtl w:val="0"/>
          </w:rPr>
          <w:t xml:space="preserve">https://docs.wokwi.com/parts/wokwi-rgb-led</w:t>
        </w:r>
      </w:hyperlink>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drawing>
          <wp:inline distB="0" distT="0" distL="0" distR="0">
            <wp:extent cx="1462375" cy="160574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462375" cy="160574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 default, the common pin is the anode (positive). You can change it by setting the "common" attribute to "cathode".</w:t>
      </w:r>
    </w:p>
    <w:p w:rsidR="00000000" w:rsidDel="00000000" w:rsidP="00000000" w:rsidRDefault="00000000" w:rsidRPr="00000000" w14:paraId="00000027">
      <w:pPr>
        <w:rPr/>
      </w:pPr>
      <w:r w:rsidDel="00000000" w:rsidR="00000000" w:rsidRPr="00000000">
        <w:rPr>
          <w:rtl w:val="0"/>
        </w:rPr>
        <w:t xml:space="preserve">You can just change the R G B values separately from 0-255 to get your desired color.</w:t>
      </w:r>
    </w:p>
    <w:p w:rsidR="00000000" w:rsidDel="00000000" w:rsidP="00000000" w:rsidRDefault="00000000" w:rsidRPr="00000000" w14:paraId="00000028">
      <w:pPr>
        <w:pStyle w:val="Heading2"/>
        <w:rPr/>
      </w:pPr>
      <w:r w:rsidDel="00000000" w:rsidR="00000000" w:rsidRPr="00000000">
        <w:rPr>
          <w:rtl w:val="0"/>
        </w:rPr>
        <w:t xml:space="preserve">Buzzer:</w:t>
      </w:r>
    </w:p>
    <w:p w:rsidR="00000000" w:rsidDel="00000000" w:rsidP="00000000" w:rsidRDefault="00000000" w:rsidRPr="00000000" w14:paraId="00000029">
      <w:pPr>
        <w:rPr/>
      </w:pPr>
      <w:r w:rsidDel="00000000" w:rsidR="00000000" w:rsidRPr="00000000">
        <w:rPr>
          <w:rtl w:val="0"/>
        </w:rPr>
        <w:t xml:space="preserve">Source: </w:t>
      </w:r>
      <w:hyperlink r:id="rId12">
        <w:r w:rsidDel="00000000" w:rsidR="00000000" w:rsidRPr="00000000">
          <w:rPr>
            <w:color w:val="1155cc"/>
            <w:u w:val="single"/>
            <w:rtl w:val="0"/>
          </w:rPr>
          <w:t xml:space="preserve">https://docs.wokwi.com/parts/wokwi-buzzer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1109663" cy="1199879"/>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109663" cy="1199879"/>
                    </a:xfrm>
                    <a:prstGeom prst="rect"/>
                    <a:ln/>
                  </pic:spPr>
                </pic:pic>
              </a:graphicData>
            </a:graphic>
          </wp:inline>
        </w:drawing>
      </w:r>
      <w:r w:rsidDel="00000000" w:rsidR="00000000" w:rsidRPr="00000000">
        <w:rPr/>
        <w:drawing>
          <wp:inline distB="114300" distT="114300" distL="114300" distR="114300">
            <wp:extent cx="4510088" cy="1075628"/>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510088" cy="1075628"/>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aedfb" w:val="clear"/>
      </w:tcPr>
    </w:tblStylePr>
    <w:tblStylePr w:type="band1Vert">
      <w:tcPr>
        <w:shd w:fill="caedfb" w:val="clear"/>
      </w:tcPr>
    </w:tblStylePr>
    <w:tblStylePr w:type="firstCol">
      <w:rPr>
        <w:b w:val="1"/>
        <w:bCs w:val="1"/>
      </w:rPr>
    </w:tblStylePr>
    <w:tblStylePr w:type="firstRow">
      <w:rPr>
        <w:b w:val="1"/>
        <w:bCs w:val="1"/>
        <w:color w:val="ffffff"/>
      </w:rPr>
      <w:tcPr>
        <w:tcBorders>
          <w:top w:color="0f9ed5" w:space="0" w:sz="4" w:val="single"/>
          <w:left w:color="0f9ed5" w:space="0" w:sz="4" w:val="single"/>
          <w:bottom w:color="0f9ed5" w:space="0" w:sz="4" w:val="single"/>
          <w:right w:color="0f9ed5" w:space="0" w:sz="4" w:val="single"/>
          <w:insideH w:color="000000" w:space="0" w:sz="0" w:val="nil"/>
          <w:insideV w:color="000000" w:space="0" w:sz="0" w:val="nil"/>
        </w:tcBorders>
        <w:shd w:fill="0f9ed5" w:val="clear"/>
      </w:tcPr>
    </w:tblStylePr>
    <w:tblStylePr w:type="lastCol">
      <w:rPr>
        <w:b w:val="1"/>
        <w:bCs w:val="1"/>
      </w:rPr>
    </w:tblStylePr>
    <w:tblStylePr w:type="lastRow">
      <w:rPr>
        <w:b w:val="1"/>
        <w:bCs w:val="1"/>
      </w:rPr>
      <w:tcPr>
        <w:tcBorders>
          <w:top w:color="0f9ed5"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docs.wokwi.com/parts/wokwi-rgb-led" TargetMode="External"/><Relationship Id="rId13" Type="http://schemas.openxmlformats.org/officeDocument/2006/relationships/image" Target="media/image4.png"/><Relationship Id="rId12" Type="http://schemas.openxmlformats.org/officeDocument/2006/relationships/hyperlink" Target="https://docs.wokwi.com/parts/wokwi-buzz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dn.sparkfun.com/datasheets/Sensors/Accelerometers/RM-MPU-6000A.pdf" TargetMode="External"/><Relationship Id="rId8" Type="http://schemas.openxmlformats.org/officeDocument/2006/relationships/hyperlink" Target="https://www.cdiweb.com/datasheets/invensense/mpu-6050_datasheet_v3%204.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LvsfAYPbTKsx2aSt7cueDH+FXA==">CgMxLjA4AHIhMWp5Y3ctaGwteWRfWUFXUGRRTkx2U1JlQjZiZTNZNXV0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