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9B541">
      <w:pPr>
        <w:pStyle w:val="3"/>
      </w:pPr>
      <w:r>
        <w:t>Lingnan Brand</w:t>
      </w:r>
    </w:p>
    <w:p w14:paraId="263C785C">
      <w:r>
        <w:t>At Lingnan University, we deliver a rich quality education characterized by a diverse</w:t>
      </w:r>
      <w:r>
        <w:br w:type="textWrapping"/>
      </w:r>
      <w:r>
        <w:t>curriculum, close-knit staff-student relationships, engaging campus life, and real-world</w:t>
      </w:r>
      <w:r>
        <w:br w:type="textWrapping"/>
      </w:r>
      <w:r>
        <w:t>experience through community service and internships. Our robust alumni network and</w:t>
      </w:r>
    </w:p>
    <w:p w14:paraId="7F256FDA">
      <w:r>
        <w:t>We are enhancing our research intensity to become a leading liberal arts research university,</w:t>
      </w:r>
      <w:r>
        <w:br w:type="textWrapping"/>
      </w:r>
      <w:r>
        <w:t>intertwining cutting-edge research with teaching to cultivate a dynamic scholarly</w:t>
      </w:r>
      <w:r>
        <w:br w:type="textWrapping"/>
      </w:r>
      <w:r>
        <w:t>environment. This propels our community to the leading edge of knowledge.</w:t>
      </w:r>
      <w:r>
        <w:br w:type="textWrapping"/>
      </w:r>
      <w:r>
        <w:t>Our brand revitalization at Lingnan is thoughtfully crafted, with each update to our strategy</w:t>
      </w:r>
      <w:r>
        <w:br w:type="textWrapping"/>
      </w:r>
      <w:r>
        <w:t>mirroring our growth and steadfast identity.</w:t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3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775</Characters>
  <Lines>0</Lines>
  <Paragraphs>0</Paragraphs>
  <TotalTime>0</TotalTime>
  <ScaleCrop>false</ScaleCrop>
  <LinksUpToDate>false</LinksUpToDate>
  <CharactersWithSpaces>876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敢于拼我</cp:lastModifiedBy>
  <dcterms:modified xsi:type="dcterms:W3CDTF">2025-04-28T10:57:09Z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eyJoZGlkIjoiYjE0OWY1NDEwMGY4MTU4NzNkY2U3YjBlOTI0YzQ4Y2EiLCJ1c2VySWQiOiIzMDMxODI4MDIifQ==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1CD952DD4CBD43DD9FAA724F828B899F_12</vt:lpwstr>
  </property>
</Properties>
</file>