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B8EF20">
      <w:pPr>
        <w:pStyle w:val="2"/>
        <w:keepNext w:val="0"/>
        <w:keepLines w:val="0"/>
        <w:widowControl/>
        <w:suppressLineNumbers w:val="0"/>
      </w:pPr>
      <w:r>
        <w:t>Developing a Policy QA System Using Retrieval-Augmented Generation (RAG) Framework</w:t>
      </w:r>
    </w:p>
    <w:p w14:paraId="38618E17">
      <w:pPr>
        <w:pStyle w:val="3"/>
        <w:keepNext w:val="0"/>
        <w:keepLines w:val="0"/>
        <w:widowControl/>
        <w:suppressLineNumbers w:val="0"/>
      </w:pPr>
      <w:r>
        <w:rPr>
          <w:rFonts w:hint="eastAsia"/>
          <w:lang w:val="en-US" w:eastAsia="zh-CN"/>
        </w:rPr>
        <w:t>一、</w:t>
      </w:r>
      <w:r>
        <w:t>研究背景及意义</w:t>
      </w:r>
    </w:p>
    <w:p w14:paraId="18BCC711">
      <w:pPr>
        <w:pStyle w:val="4"/>
        <w:keepNext w:val="0"/>
        <w:keepLines w:val="0"/>
        <w:widowControl/>
        <w:suppressLineNumbers w:val="0"/>
      </w:pPr>
      <w:r>
        <w:t>随着信息技术的快速发展，政策信息的获取和理解变得越来越重要。政策问答系统能够帮助用户快速找到相关政策信息，并提供准确的解答。然而，传统的问答系统在处理复杂和动态的政策信息时，常常面临知识更新不足和生成内容不准确的问题。检索增强生成（RAG）框架将外部知识库的检索能力与大语言模型（LLMs）的生成能力相结合，为政策</w:t>
      </w:r>
      <w:r>
        <w:rPr>
          <w:rFonts w:hint="eastAsia"/>
          <w:lang w:val="en-US" w:eastAsia="zh-CN"/>
        </w:rPr>
        <w:t>问答</w:t>
      </w:r>
      <w:r>
        <w:t>系统提供了一种新的解决方案。通过动态获取最新的政策信息，RAG框架能够显著提升政策问答的准确性和实用性。</w:t>
      </w:r>
    </w:p>
    <w:p w14:paraId="43D0BF33">
      <w:pPr>
        <w:pStyle w:val="3"/>
        <w:keepNext w:val="0"/>
        <w:keepLines w:val="0"/>
        <w:widowControl/>
        <w:suppressLineNumbers w:val="0"/>
      </w:pPr>
      <w:r>
        <w:rPr>
          <w:rFonts w:hint="eastAsia"/>
          <w:lang w:val="en-US" w:eastAsia="zh-CN"/>
        </w:rPr>
        <w:t>二、</w:t>
      </w:r>
      <w:r>
        <w:t>国内外研究现状</w:t>
      </w:r>
    </w:p>
    <w:p w14:paraId="6428B435">
      <w:pPr>
        <w:pStyle w:val="4"/>
        <w:keepNext w:val="0"/>
        <w:keepLines w:val="0"/>
        <w:widowControl/>
        <w:suppressLineNumbers w:val="0"/>
      </w:pPr>
      <w:r>
        <w:t>近年来，RAG技术在自然语言处理（NLP）领域得到了广泛关注。许多研究集中在RAG的基本框架和应用上，探索如何将其有效应用于问答系统。Gao等</w:t>
      </w:r>
      <w:r>
        <w:rPr>
          <w:rFonts w:hint="eastAsia"/>
          <w:vertAlign w:val="superscript"/>
          <w:lang w:val="en-US" w:eastAsia="zh-CN"/>
        </w:rPr>
        <w:t>[1]</w:t>
      </w:r>
      <w:r>
        <w:t>对RAG进行了全面的综述，指出其在知识密集型任务中的应用潜力。而Karpukhin等</w:t>
      </w:r>
      <w:r>
        <w:rPr>
          <w:rFonts w:hint="eastAsia"/>
          <w:vertAlign w:val="superscript"/>
          <w:lang w:val="en-US" w:eastAsia="zh-CN"/>
        </w:rPr>
        <w:t>[2]</w:t>
      </w:r>
      <w:r>
        <w:t>提出的Dense Passage Retrieval方法，进一步增强了检索精度，为政策QA系统提供了有力支持。此外，国内的研究也逐渐增多，探讨了如何结合RAG框架优化政策问答的生成质量</w:t>
      </w:r>
      <w:r>
        <w:rPr>
          <w:rFonts w:hint="eastAsia"/>
          <w:vertAlign w:val="superscript"/>
          <w:lang w:val="en-US" w:eastAsia="zh-CN"/>
        </w:rPr>
        <w:t>[3]</w:t>
      </w:r>
      <w:r>
        <w:t>。这些研究为RAG在政策领域的应用奠定了基础。</w:t>
      </w:r>
    </w:p>
    <w:p w14:paraId="5D461D3C">
      <w:pPr>
        <w:pStyle w:val="3"/>
        <w:keepNext w:val="0"/>
        <w:keepLines w:val="0"/>
        <w:widowControl/>
        <w:suppressLineNumbers w:val="0"/>
      </w:pPr>
      <w:r>
        <w:rPr>
          <w:rFonts w:hint="eastAsia"/>
          <w:lang w:val="en-US" w:eastAsia="zh-CN"/>
        </w:rPr>
        <w:t>三、</w:t>
      </w:r>
      <w:r>
        <w:t>文献评述</w:t>
      </w:r>
    </w:p>
    <w:p w14:paraId="01F5C702">
      <w:pPr>
        <w:pStyle w:val="4"/>
        <w:keepNext w:val="0"/>
        <w:keepLines w:val="0"/>
        <w:widowControl/>
        <w:suppressLineNumbers w:val="0"/>
      </w:pPr>
      <w:r>
        <w:t>现有文献对RAG框架的研究主要集中在其结构和应用效能上。早期的简单RAG方法虽然在某些任务上表现良好，但在检索精度和生成质量上存在不足</w:t>
      </w:r>
      <w:r>
        <w:rPr>
          <w:rFonts w:hint="eastAsia"/>
          <w:vertAlign w:val="superscript"/>
          <w:lang w:val="en-US" w:eastAsia="zh-CN"/>
        </w:rPr>
        <w:t>[1]</w:t>
      </w:r>
      <w:r>
        <w:t>。为解决这些问题，研究者们提出了先进RAG和模块化RAG，通过引入预检索和后检索优化策略，显著提升了信息检索的效率。然而，尽管RAG在技术上取得了进展，如何在政策问答系统中有效整合这些技术仍然是一个值得深入探讨的问题。</w:t>
      </w:r>
    </w:p>
    <w:p w14:paraId="058A089C">
      <w:pPr>
        <w:pStyle w:val="4"/>
        <w:keepNext w:val="0"/>
        <w:keepLines w:val="0"/>
        <w:widowControl/>
        <w:suppressLineNumbers w:val="0"/>
      </w:pPr>
      <w:r>
        <w:t>在实际应用中，政策QA系统需要处理大量的政策文本和法律条款，这对生成模型的理解和推理能力提出了更高的要求</w:t>
      </w:r>
      <w:r>
        <w:rPr>
          <w:rFonts w:hint="eastAsia"/>
          <w:vertAlign w:val="superscript"/>
          <w:lang w:val="en-US" w:eastAsia="zh-CN"/>
        </w:rPr>
        <w:t>[3]</w:t>
      </w:r>
      <w:r>
        <w:t>。此外，文献中普遍存在对评估标准和方法缺乏统一的认识，这使得不同研究间的比较变得困难。因此，未来的研究需要在评估方法上达成共识，以便更好地衡量RAG在政策问答中的有效性。</w:t>
      </w:r>
    </w:p>
    <w:p w14:paraId="177D00D4">
      <w:pPr>
        <w:widowControl w:val="0"/>
        <w:numPr>
          <w:ilvl w:val="0"/>
          <w:numId w:val="1"/>
        </w:numPr>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参考文献</w:t>
      </w:r>
    </w:p>
    <w:p w14:paraId="413B210B">
      <w:pPr>
        <w:widowControl w:val="0"/>
        <w:numPr>
          <w:numId w:val="0"/>
        </w:numPr>
        <w:jc w:val="both"/>
        <w:rPr>
          <w:rFonts w:hint="eastAsia" w:ascii="Helvetica" w:hAnsi="Helvetica" w:eastAsia="宋体" w:cs="Helvetica"/>
          <w:i w:val="0"/>
          <w:iCs w:val="0"/>
          <w:caps w:val="0"/>
          <w:color w:val="222222"/>
          <w:spacing w:val="0"/>
          <w:sz w:val="14"/>
          <w:szCs w:val="14"/>
          <w:shd w:val="clear" w:fill="FFFFFF"/>
          <w:lang w:val="en-US" w:eastAsia="zh-CN"/>
        </w:rPr>
      </w:pPr>
      <w:r>
        <w:rPr>
          <w:rFonts w:hint="eastAsia" w:ascii="Helvetica" w:hAnsi="Helvetica" w:eastAsia="宋体" w:cs="Helvetica"/>
          <w:i w:val="0"/>
          <w:iCs w:val="0"/>
          <w:caps w:val="0"/>
          <w:color w:val="222222"/>
          <w:spacing w:val="0"/>
          <w:sz w:val="14"/>
          <w:szCs w:val="14"/>
          <w:shd w:val="clear" w:fill="FFFFFF"/>
          <w:lang w:val="en-US" w:eastAsia="zh-CN"/>
        </w:rPr>
        <w:t>（引用格式不对，后期再改）</w:t>
      </w:r>
      <w:bookmarkStart w:id="0" w:name="_GoBack"/>
      <w:bookmarkEnd w:id="0"/>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22"/>
      </w:tblGrid>
      <w:tr w14:paraId="2669F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tcMar>
              <w:top w:w="0" w:type="dxa"/>
              <w:left w:w="0" w:type="dxa"/>
              <w:bottom w:w="0" w:type="dxa"/>
              <w:right w:w="78" w:type="dxa"/>
            </w:tcMar>
            <w:vAlign w:val="top"/>
          </w:tcPr>
          <w:p w14:paraId="3642CAB2">
            <w:pPr>
              <w:rPr>
                <w:rFonts w:hint="default" w:ascii="Times New Roman" w:hAnsi="Times New Roman" w:eastAsia="楷体" w:cs="Times New Roman"/>
                <w:i w:val="0"/>
                <w:iCs w:val="0"/>
                <w:caps w:val="0"/>
                <w:color w:val="000000"/>
                <w:spacing w:val="0"/>
                <w:sz w:val="20"/>
                <w:szCs w:val="20"/>
              </w:rPr>
            </w:pPr>
            <w:r>
              <w:rPr>
                <w:rFonts w:hint="eastAsia" w:ascii="Helvetica" w:hAnsi="Helvetica" w:eastAsia="宋体" w:cs="Helvetica"/>
                <w:i w:val="0"/>
                <w:iCs w:val="0"/>
                <w:caps w:val="0"/>
                <w:color w:val="222222"/>
                <w:spacing w:val="0"/>
                <w:sz w:val="14"/>
                <w:szCs w:val="14"/>
                <w:shd w:val="clear" w:fill="FFFFFF"/>
                <w:lang w:val="en-US" w:eastAsia="zh-CN"/>
              </w:rPr>
              <w:t>[1]</w:t>
            </w:r>
            <w:r>
              <w:rPr>
                <w:rFonts w:hint="default" w:ascii="Times New Roman" w:hAnsi="Times New Roman" w:eastAsia="楷体" w:cs="Times New Roman"/>
                <w:b w:val="0"/>
                <w:bCs w:val="0"/>
                <w:i w:val="0"/>
                <w:iCs w:val="0"/>
                <w:caps w:val="0"/>
                <w:spacing w:val="0"/>
                <w:kern w:val="0"/>
                <w:sz w:val="20"/>
                <w:szCs w:val="20"/>
                <w:u w:val="none"/>
                <w:lang w:val="en-US" w:eastAsia="zh-CN" w:bidi="ar"/>
              </w:rPr>
              <w:fldChar w:fldCharType="begin"/>
            </w:r>
            <w:r>
              <w:rPr>
                <w:rFonts w:hint="default" w:ascii="Times New Roman" w:hAnsi="Times New Roman" w:eastAsia="楷体" w:cs="Times New Roman"/>
                <w:b w:val="0"/>
                <w:bCs w:val="0"/>
                <w:i w:val="0"/>
                <w:iCs w:val="0"/>
                <w:caps w:val="0"/>
                <w:spacing w:val="0"/>
                <w:kern w:val="0"/>
                <w:sz w:val="20"/>
                <w:szCs w:val="20"/>
                <w:u w:val="none"/>
                <w:lang w:val="en-US" w:eastAsia="zh-CN" w:bidi="ar"/>
              </w:rPr>
              <w:instrText xml:space="preserve"> HYPERLINK "https://doi.org/10.48550/arXiv.2312.10997" </w:instrText>
            </w:r>
            <w:r>
              <w:rPr>
                <w:rFonts w:hint="default" w:ascii="Times New Roman" w:hAnsi="Times New Roman" w:eastAsia="楷体" w:cs="Times New Roman"/>
                <w:b w:val="0"/>
                <w:bCs w:val="0"/>
                <w:i w:val="0"/>
                <w:iCs w:val="0"/>
                <w:caps w:val="0"/>
                <w:spacing w:val="0"/>
                <w:kern w:val="0"/>
                <w:sz w:val="20"/>
                <w:szCs w:val="20"/>
                <w:u w:val="none"/>
                <w:lang w:val="en-US" w:eastAsia="zh-CN" w:bidi="ar"/>
              </w:rPr>
              <w:fldChar w:fldCharType="separate"/>
            </w:r>
            <w:r>
              <w:rPr>
                <w:rStyle w:val="8"/>
                <w:rFonts w:hint="default" w:ascii="Times New Roman" w:hAnsi="Times New Roman" w:eastAsia="楷体" w:cs="Times New Roman"/>
                <w:b w:val="0"/>
                <w:bCs w:val="0"/>
                <w:i w:val="0"/>
                <w:iCs w:val="0"/>
                <w:caps w:val="0"/>
                <w:spacing w:val="0"/>
                <w:sz w:val="20"/>
                <w:szCs w:val="20"/>
                <w:u w:val="none"/>
              </w:rPr>
              <w:t>https://doi.org/10.48550/arXiv.2312.10997</w:t>
            </w:r>
            <w:r>
              <w:rPr>
                <w:rFonts w:hint="default" w:ascii="Times New Roman" w:hAnsi="Times New Roman" w:eastAsia="楷体" w:cs="Times New Roman"/>
                <w:b w:val="0"/>
                <w:bCs w:val="0"/>
                <w:i w:val="0"/>
                <w:iCs w:val="0"/>
                <w:caps w:val="0"/>
                <w:spacing w:val="0"/>
                <w:kern w:val="0"/>
                <w:sz w:val="20"/>
                <w:szCs w:val="20"/>
                <w:u w:val="none"/>
                <w:lang w:val="en-US" w:eastAsia="zh-CN" w:bidi="ar"/>
              </w:rPr>
              <w:fldChar w:fldCharType="end"/>
            </w:r>
          </w:p>
        </w:tc>
      </w:tr>
    </w:tbl>
    <w:p w14:paraId="45E3714E">
      <w:pPr>
        <w:widowControl w:val="0"/>
        <w:numPr>
          <w:numId w:val="0"/>
        </w:numPr>
        <w:jc w:val="both"/>
        <w:rPr>
          <w:rFonts w:hint="default" w:ascii="Helvetica" w:hAnsi="Helvetica" w:eastAsia="宋体" w:cs="Helvetica"/>
          <w:i w:val="0"/>
          <w:iCs w:val="0"/>
          <w:caps w:val="0"/>
          <w:color w:val="222222"/>
          <w:spacing w:val="0"/>
          <w:sz w:val="14"/>
          <w:szCs w:val="14"/>
          <w:shd w:val="clear" w:fill="FFFFFF"/>
          <w:lang w:val="en-US" w:eastAsia="zh-CN"/>
        </w:rPr>
      </w:pPr>
      <w:r>
        <w:rPr>
          <w:rFonts w:hint="eastAsia" w:ascii="Helvetica" w:hAnsi="Helvetica" w:eastAsia="宋体" w:cs="Helvetica"/>
          <w:i w:val="0"/>
          <w:iCs w:val="0"/>
          <w:caps w:val="0"/>
          <w:color w:val="222222"/>
          <w:spacing w:val="0"/>
          <w:sz w:val="14"/>
          <w:szCs w:val="14"/>
          <w:shd w:val="clear" w:fill="FFFFFF"/>
          <w:lang w:val="en-US" w:eastAsia="zh-CN"/>
        </w:rPr>
        <w:t>[2]</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566"/>
      </w:tblGrid>
      <w:tr w14:paraId="04443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tcMar>
              <w:top w:w="0" w:type="dxa"/>
              <w:left w:w="0" w:type="dxa"/>
              <w:bottom w:w="0" w:type="dxa"/>
              <w:right w:w="78" w:type="dxa"/>
            </w:tcMar>
            <w:vAlign w:val="top"/>
          </w:tcPr>
          <w:p w14:paraId="0751EE7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left"/>
              <w:textAlignment w:val="top"/>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b w:val="0"/>
                <w:bCs w:val="0"/>
                <w:i w:val="0"/>
                <w:iCs w:val="0"/>
                <w:caps w:val="0"/>
                <w:spacing w:val="0"/>
                <w:kern w:val="0"/>
                <w:sz w:val="20"/>
                <w:szCs w:val="20"/>
                <w:u w:val="none"/>
                <w:bdr w:val="none" w:color="auto" w:sz="0" w:space="0"/>
                <w:lang w:val="en-US" w:eastAsia="zh-CN" w:bidi="ar"/>
              </w:rPr>
              <w:fldChar w:fldCharType="begin"/>
            </w:r>
            <w:r>
              <w:rPr>
                <w:rFonts w:hint="default" w:ascii="Times New Roman" w:hAnsi="Times New Roman" w:eastAsia="Helvetica" w:cs="Times New Roman"/>
                <w:b w:val="0"/>
                <w:bCs w:val="0"/>
                <w:i w:val="0"/>
                <w:iCs w:val="0"/>
                <w:caps w:val="0"/>
                <w:spacing w:val="0"/>
                <w:kern w:val="0"/>
                <w:sz w:val="20"/>
                <w:szCs w:val="20"/>
                <w:u w:val="none"/>
                <w:bdr w:val="none" w:color="auto" w:sz="0" w:space="0"/>
                <w:lang w:val="en-US" w:eastAsia="zh-CN" w:bidi="ar"/>
              </w:rPr>
              <w:instrText xml:space="preserve"> HYPERLINK "https://doi.org/10.48550/arXiv.2004.04906" </w:instrText>
            </w:r>
            <w:r>
              <w:rPr>
                <w:rFonts w:hint="default" w:ascii="Times New Roman" w:hAnsi="Times New Roman" w:eastAsia="Helvetica" w:cs="Times New Roman"/>
                <w:b w:val="0"/>
                <w:bCs w:val="0"/>
                <w:i w:val="0"/>
                <w:iCs w:val="0"/>
                <w:caps w:val="0"/>
                <w:spacing w:val="0"/>
                <w:kern w:val="0"/>
                <w:sz w:val="20"/>
                <w:szCs w:val="20"/>
                <w:u w:val="none"/>
                <w:bdr w:val="none" w:color="auto" w:sz="0" w:space="0"/>
                <w:lang w:val="en-US" w:eastAsia="zh-CN" w:bidi="ar"/>
              </w:rPr>
              <w:fldChar w:fldCharType="separate"/>
            </w:r>
            <w:r>
              <w:rPr>
                <w:rStyle w:val="8"/>
                <w:rFonts w:hint="default" w:ascii="Times New Roman" w:hAnsi="Times New Roman" w:eastAsia="Helvetica" w:cs="Times New Roman"/>
                <w:b w:val="0"/>
                <w:bCs w:val="0"/>
                <w:i w:val="0"/>
                <w:iCs w:val="0"/>
                <w:caps w:val="0"/>
                <w:spacing w:val="0"/>
                <w:sz w:val="20"/>
                <w:szCs w:val="20"/>
                <w:u w:val="none"/>
                <w:bdr w:val="none" w:color="auto" w:sz="0" w:space="0"/>
              </w:rPr>
              <w:t>https://doi.org/10.48550/arXiv.2004.04906</w:t>
            </w:r>
            <w:r>
              <w:rPr>
                <w:rFonts w:hint="default" w:ascii="Times New Roman" w:hAnsi="Times New Roman" w:eastAsia="Helvetica" w:cs="Times New Roman"/>
                <w:b w:val="0"/>
                <w:bCs w:val="0"/>
                <w:i w:val="0"/>
                <w:iCs w:val="0"/>
                <w:caps w:val="0"/>
                <w:spacing w:val="0"/>
                <w:kern w:val="0"/>
                <w:sz w:val="20"/>
                <w:szCs w:val="20"/>
                <w:u w:val="none"/>
                <w:bdr w:val="none" w:color="auto" w:sz="0" w:space="0"/>
                <w:lang w:val="en-US" w:eastAsia="zh-CN" w:bidi="ar"/>
              </w:rPr>
              <w:fldChar w:fldCharType="end"/>
            </w:r>
          </w:p>
        </w:tc>
      </w:tr>
    </w:tbl>
    <w:p w14:paraId="39777917">
      <w:pPr>
        <w:keepNext w:val="0"/>
        <w:keepLines w:val="0"/>
        <w:widowControl/>
        <w:suppressLineNumbers w:val="0"/>
        <w:jc w:val="left"/>
        <w:rPr>
          <w:rFonts w:hint="default" w:ascii="Helvetica" w:hAnsi="Helvetica" w:eastAsia="Helvetica" w:cs="Helvetica"/>
          <w:i w:val="0"/>
          <w:iCs w:val="0"/>
          <w:caps w:val="0"/>
          <w:color w:val="222222"/>
          <w:spacing w:val="0"/>
          <w:sz w:val="14"/>
          <w:szCs w:val="14"/>
          <w:shd w:val="clear" w:fill="FFFFFF"/>
        </w:rPr>
      </w:pPr>
      <w:r>
        <w:rPr>
          <w:rFonts w:hint="eastAsia"/>
          <w:lang w:val="en-US" w:eastAsia="zh-CN"/>
        </w:rPr>
        <w:t>[3]</w:t>
      </w:r>
      <w:r>
        <w:rPr>
          <w:rFonts w:ascii="Helvetica" w:hAnsi="Helvetica" w:eastAsia="Helvetica" w:cs="Helvetica"/>
          <w:i w:val="0"/>
          <w:iCs w:val="0"/>
          <w:caps w:val="0"/>
          <w:color w:val="222222"/>
          <w:spacing w:val="0"/>
          <w:sz w:val="14"/>
          <w:szCs w:val="14"/>
          <w:shd w:val="clear" w:fill="FFFFFF"/>
        </w:rPr>
        <w:t>Yang, H.; Li, S.; Gonçalves, T. Enhancing Biomedical Question Answering with Large Language Models.</w:t>
      </w:r>
      <w:r>
        <w:rPr>
          <w:rFonts w:hint="default" w:ascii="Helvetica" w:hAnsi="Helvetica" w:eastAsia="Helvetica" w:cs="Helvetica"/>
          <w:i w:val="0"/>
          <w:iCs w:val="0"/>
          <w:caps w:val="0"/>
          <w:color w:val="222222"/>
          <w:spacing w:val="0"/>
          <w:sz w:val="14"/>
          <w:szCs w:val="14"/>
          <w:shd w:val="clear" w:fill="FFFFFF"/>
        </w:rPr>
        <w:t> </w:t>
      </w:r>
      <w:r>
        <w:rPr>
          <w:rStyle w:val="7"/>
          <w:rFonts w:hint="default" w:ascii="Helvetica" w:hAnsi="Helvetica" w:eastAsia="Helvetica" w:cs="Helvetica"/>
          <w:i/>
          <w:iCs/>
          <w:caps w:val="0"/>
          <w:color w:val="222222"/>
          <w:spacing w:val="0"/>
          <w:sz w:val="14"/>
          <w:szCs w:val="14"/>
          <w:shd w:val="clear" w:fill="FFFFFF"/>
        </w:rPr>
        <w:t>Information</w:t>
      </w:r>
      <w:r>
        <w:rPr>
          <w:rFonts w:hint="default" w:ascii="Helvetica" w:hAnsi="Helvetica" w:eastAsia="Helvetica" w:cs="Helvetica"/>
          <w:i w:val="0"/>
          <w:iCs w:val="0"/>
          <w:caps w:val="0"/>
          <w:color w:val="222222"/>
          <w:spacing w:val="0"/>
          <w:sz w:val="14"/>
          <w:szCs w:val="14"/>
          <w:shd w:val="clear" w:fill="FFFFFF"/>
        </w:rPr>
        <w:t> </w:t>
      </w:r>
      <w:r>
        <w:rPr>
          <w:rFonts w:hint="default" w:ascii="Helvetica" w:hAnsi="Helvetica" w:eastAsia="Helvetica" w:cs="Helvetica"/>
          <w:b/>
          <w:bCs/>
          <w:i w:val="0"/>
          <w:iCs w:val="0"/>
          <w:caps w:val="0"/>
          <w:color w:val="222222"/>
          <w:spacing w:val="0"/>
          <w:sz w:val="14"/>
          <w:szCs w:val="14"/>
          <w:shd w:val="clear" w:fill="FFFFFF"/>
        </w:rPr>
        <w:t>2024</w:t>
      </w:r>
      <w:r>
        <w:rPr>
          <w:rFonts w:hint="default" w:ascii="Helvetica" w:hAnsi="Helvetica" w:eastAsia="Helvetica" w:cs="Helvetica"/>
          <w:i w:val="0"/>
          <w:iCs w:val="0"/>
          <w:caps w:val="0"/>
          <w:color w:val="222222"/>
          <w:spacing w:val="0"/>
          <w:sz w:val="14"/>
          <w:szCs w:val="14"/>
          <w:shd w:val="clear" w:fill="FFFFFF"/>
        </w:rPr>
        <w:t>, </w:t>
      </w:r>
      <w:r>
        <w:rPr>
          <w:rStyle w:val="7"/>
          <w:rFonts w:hint="default" w:ascii="Helvetica" w:hAnsi="Helvetica" w:eastAsia="Helvetica" w:cs="Helvetica"/>
          <w:i/>
          <w:iCs/>
          <w:caps w:val="0"/>
          <w:color w:val="222222"/>
          <w:spacing w:val="0"/>
          <w:sz w:val="14"/>
          <w:szCs w:val="14"/>
          <w:shd w:val="clear" w:fill="FFFFFF"/>
        </w:rPr>
        <w:t>15</w:t>
      </w:r>
      <w:r>
        <w:rPr>
          <w:rFonts w:hint="default" w:ascii="Helvetica" w:hAnsi="Helvetica" w:eastAsia="Helvetica" w:cs="Helvetica"/>
          <w:i w:val="0"/>
          <w:iCs w:val="0"/>
          <w:caps w:val="0"/>
          <w:color w:val="222222"/>
          <w:spacing w:val="0"/>
          <w:sz w:val="14"/>
          <w:szCs w:val="14"/>
          <w:shd w:val="clear" w:fill="FFFFFF"/>
        </w:rPr>
        <w:t xml:space="preserve">, 494. </w:t>
      </w:r>
      <w:r>
        <w:rPr>
          <w:rFonts w:hint="default" w:ascii="Helvetica" w:hAnsi="Helvetica" w:eastAsia="Helvetica" w:cs="Helvetica"/>
          <w:i w:val="0"/>
          <w:iCs w:val="0"/>
          <w:caps w:val="0"/>
          <w:color w:val="222222"/>
          <w:spacing w:val="0"/>
          <w:sz w:val="14"/>
          <w:szCs w:val="14"/>
          <w:shd w:val="clear" w:fill="FFFFFF"/>
        </w:rPr>
        <w:fldChar w:fldCharType="begin"/>
      </w:r>
      <w:r>
        <w:rPr>
          <w:rFonts w:hint="default" w:ascii="Helvetica" w:hAnsi="Helvetica" w:eastAsia="Helvetica" w:cs="Helvetica"/>
          <w:i w:val="0"/>
          <w:iCs w:val="0"/>
          <w:caps w:val="0"/>
          <w:color w:val="222222"/>
          <w:spacing w:val="0"/>
          <w:sz w:val="14"/>
          <w:szCs w:val="14"/>
          <w:shd w:val="clear" w:fill="FFFFFF"/>
        </w:rPr>
        <w:instrText xml:space="preserve"> HYPERLINK "https://doi.org/10.3390/info15080494" </w:instrText>
      </w:r>
      <w:r>
        <w:rPr>
          <w:rFonts w:hint="default" w:ascii="Helvetica" w:hAnsi="Helvetica" w:eastAsia="Helvetica" w:cs="Helvetica"/>
          <w:i w:val="0"/>
          <w:iCs w:val="0"/>
          <w:caps w:val="0"/>
          <w:color w:val="222222"/>
          <w:spacing w:val="0"/>
          <w:sz w:val="14"/>
          <w:szCs w:val="14"/>
          <w:shd w:val="clear" w:fill="FFFFFF"/>
        </w:rPr>
        <w:fldChar w:fldCharType="separate"/>
      </w:r>
      <w:r>
        <w:rPr>
          <w:rStyle w:val="8"/>
          <w:rFonts w:hint="default" w:ascii="Helvetica" w:hAnsi="Helvetica" w:eastAsia="Helvetica" w:cs="Helvetica"/>
          <w:i w:val="0"/>
          <w:iCs w:val="0"/>
          <w:caps w:val="0"/>
          <w:spacing w:val="0"/>
          <w:sz w:val="14"/>
          <w:szCs w:val="14"/>
          <w:shd w:val="clear" w:fill="FFFFFF"/>
        </w:rPr>
        <w:t>https://doi.org/10.3390/info15080494</w:t>
      </w:r>
      <w:r>
        <w:rPr>
          <w:rFonts w:hint="default" w:ascii="Helvetica" w:hAnsi="Helvetica" w:eastAsia="Helvetica" w:cs="Helvetica"/>
          <w:i w:val="0"/>
          <w:iCs w:val="0"/>
          <w:caps w:val="0"/>
          <w:color w:val="222222"/>
          <w:spacing w:val="0"/>
          <w:sz w:val="14"/>
          <w:szCs w:val="14"/>
          <w:shd w:val="clear" w:fill="FFFFFF"/>
        </w:rPr>
        <w:fldChar w:fldCharType="end"/>
      </w:r>
    </w:p>
    <w:p w14:paraId="57849C45">
      <w:pPr>
        <w:widowControl w:val="0"/>
        <w:numPr>
          <w:numId w:val="0"/>
        </w:numPr>
        <w:jc w:val="both"/>
        <w:rPr>
          <w:rFonts w:hint="default" w:ascii="Helvetica" w:hAnsi="Helvetica" w:eastAsia="宋体" w:cs="Helvetica"/>
          <w:i w:val="0"/>
          <w:iCs w:val="0"/>
          <w:caps w:val="0"/>
          <w:color w:val="222222"/>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A8F62F"/>
    <w:multiLevelType w:val="singleLevel"/>
    <w:tmpl w:val="43A8F62F"/>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94B64"/>
    <w:rsid w:val="2B540226"/>
    <w:rsid w:val="4B994B64"/>
    <w:rsid w:val="4D357A66"/>
    <w:rsid w:val="5C2C2D1D"/>
    <w:rsid w:val="6FF0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2025-01-12T03:34:00Z</dcterms:created>
  <dc:creator>管昱祺</dc:creator>
  <cp:lastModifiedBy>管昱祺</cp:lastModifiedBy>
  <dcterms:modified xsi:type="dcterms:W3CDTF">2025-01-12T03:47:31Z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5FA1CE51A7E449818EAE3DB0B1E96C47_11</vt:lpwstr>
  </property>
  <property fmtid="{D5CDD505-2E9C-101B-9397-08002B2CF9AE}" pid="4" name="KSOTemplateDocerSaveRecord">
    <vt:lpwstr>eyJoZGlkIjoiMjdiOTQ0OTFjNGNhM2NkNDgyZWUyYzM1YzFmZGNlNDAiLCJ1c2VySWQiOiIxMTM0MTE1MTcxIn0=</vt:lpwstr>
  </property>
</Properties>
</file>