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C6BC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Proposal</w:t>
      </w:r>
    </w:p>
    <w:p w14:paraId="3170CF6F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Data Mining Procedure</w:t>
      </w:r>
    </w:p>
    <w:p w14:paraId="6452D9CB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pic</w:t>
      </w:r>
    </w:p>
    <w:p w14:paraId="25D9706F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Data Mining Methods</w:t>
      </w:r>
    </w:p>
    <w:p w14:paraId="5ADDF7BE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08367E46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Topic Selection</w:t>
      </w:r>
    </w:p>
    <w:p w14:paraId="6C5DD04C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many topics are shown in recent days, for examples, abcd. However, the rapid development of digital technology highly impacted our daily life and reconstructed higher education. Even LU ...</w:t>
      </w:r>
    </w:p>
    <w:p w14:paraId="3BE0433D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Hence, we decided to figure out the latent relationships between “student performance” and “</w:t>
      </w:r>
      <w:r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game play teaching method</w:t>
      </w: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 xml:space="preserve">” </w:t>
      </w:r>
    </w:p>
    <w:p w14:paraId="742D42CC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Background</w:t>
      </w:r>
    </w:p>
    <w:p w14:paraId="0B55475C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79734F57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Study Aim</w:t>
      </w:r>
    </w:p>
    <w:p w14:paraId="641728B1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5518C3A2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Data Collection</w:t>
      </w:r>
    </w:p>
    <w:p w14:paraId="0F9AA605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19DD79A7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Data Description</w:t>
      </w:r>
    </w:p>
    <w:p w14:paraId="39F6E2AC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0316422A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Methods Applying</w:t>
      </w:r>
    </w:p>
    <w:p w14:paraId="7D5143D0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6C5FA190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Deep Diving</w:t>
      </w:r>
    </w:p>
    <w:p w14:paraId="496ACCEC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what problems</w:t>
      </w:r>
    </w:p>
    <w:p w14:paraId="35D0E0FE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Social Impacts</w:t>
      </w:r>
    </w:p>
    <w:p w14:paraId="3516A196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text</w:t>
      </w:r>
    </w:p>
    <w:p w14:paraId="39C79682">
      <w:pP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br w:type="page"/>
      </w:r>
    </w:p>
    <w:p w14:paraId="3A3B1302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Reference</w:t>
      </w:r>
    </w:p>
    <w:p w14:paraId="338DF44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slides</w:t>
      </w:r>
      <w:bookmarkStart w:id="0" w:name="_GoBack"/>
      <w:bookmarkEnd w:id="0"/>
    </w:p>
    <w:p w14:paraId="747A5636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https://github.com/RockyRori/avengers/tree/main/proposal</w:t>
      </w:r>
    </w:p>
    <w:p w14:paraId="588B4F4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https://www.kaggle.com/competitions/predict-student-performance-from-game-play</w:t>
      </w:r>
    </w:p>
    <w:p w14:paraId="769C187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402CF16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636CD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9F2FEF1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7A94FF84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DEB03C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5C990D10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37E5EA30"/>
    <w:rsid w:val="367764B3"/>
    <w:rsid w:val="37E5EA30"/>
    <w:rsid w:val="5FF74CA2"/>
    <w:rsid w:val="6BFFEA6A"/>
    <w:rsid w:val="77FE082B"/>
    <w:rsid w:val="7E1F5192"/>
    <w:rsid w:val="DDB77651"/>
    <w:rsid w:val="E6BFD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54A1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2024-10-15T20:05:00Z</dcterms:created>
  <dc:creator>敢于拼我</dc:creator>
  <cp:lastModifiedBy>敢于拼我</cp:lastModifiedBy>
  <dcterms:modified xsi:type="dcterms:W3CDTF">2024-10-15T12:52:52Z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A2A3A5CDE04CAA01F0E90D675D1F778B_41</vt:lpwstr>
  </property>
</Properties>
</file>