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EE6D1" w14:textId="77777777" w:rsidR="00A31A44" w:rsidRDefault="00000000" w:rsidP="00F9171B">
      <w:pPr>
        <w:jc w:val="right"/>
      </w:pPr>
      <w:r>
        <w:rPr>
          <w:color w:val="555555"/>
          <w:sz w:val="20"/>
          <w:szCs w:val="20"/>
        </w:rPr>
        <w:t>Rakesh Shrestha</w:t>
      </w:r>
    </w:p>
    <w:p w14:paraId="2FA9CE72" w14:textId="77777777" w:rsidR="00A31A44" w:rsidRDefault="00000000" w:rsidP="00F9171B">
      <w:pPr>
        <w:jc w:val="right"/>
      </w:pPr>
      <w:r>
        <w:rPr>
          <w:color w:val="555555"/>
          <w:sz w:val="20"/>
          <w:szCs w:val="20"/>
        </w:rPr>
        <w:t>Module 2.3 Assignment: Data Models</w:t>
      </w:r>
    </w:p>
    <w:p w14:paraId="2061C22F" w14:textId="77777777" w:rsidR="00A31A44" w:rsidRDefault="00000000" w:rsidP="00F9171B">
      <w:pPr>
        <w:jc w:val="right"/>
      </w:pPr>
      <w:r>
        <w:rPr>
          <w:color w:val="555555"/>
          <w:sz w:val="20"/>
          <w:szCs w:val="20"/>
        </w:rPr>
        <w:t>CSD310-T301 Database Development and Use</w:t>
      </w:r>
    </w:p>
    <w:p w14:paraId="61634596" w14:textId="77777777" w:rsidR="00A31A44" w:rsidRDefault="00A31A44" w:rsidP="00F9171B">
      <w:pPr>
        <w:jc w:val="both"/>
      </w:pPr>
    </w:p>
    <w:p w14:paraId="5D7EAB40" w14:textId="77777777" w:rsidR="00F9171B" w:rsidRDefault="00F9171B" w:rsidP="00F9171B"/>
    <w:p w14:paraId="38717465" w14:textId="77777777" w:rsidR="00A31A44" w:rsidRDefault="00000000" w:rsidP="008B7184">
      <w:pPr>
        <w:pStyle w:val="Heading1"/>
        <w:jc w:val="both"/>
      </w:pPr>
      <w:r>
        <w:rPr>
          <w:sz w:val="32"/>
          <w:szCs w:val="32"/>
        </w:rPr>
        <w:t>Module 2.3 Assignment: Data Models</w:t>
      </w:r>
    </w:p>
    <w:p w14:paraId="4990C9F1" w14:textId="77777777" w:rsidR="00F9171B" w:rsidRDefault="00F9171B" w:rsidP="008B7184">
      <w:pPr>
        <w:jc w:val="both"/>
      </w:pPr>
    </w:p>
    <w:p w14:paraId="376101A3" w14:textId="77777777" w:rsidR="00A31A44" w:rsidRDefault="00000000" w:rsidP="008B7184">
      <w:pPr>
        <w:pStyle w:val="Heading2"/>
        <w:jc w:val="both"/>
      </w:pPr>
      <w:r>
        <w:rPr>
          <w:sz w:val="26"/>
          <w:szCs w:val="26"/>
        </w:rPr>
        <w:t>Part 1: Entity Relationship Diagram (ERD)</w:t>
      </w:r>
    </w:p>
    <w:p w14:paraId="1F88972B" w14:textId="1BB0B491" w:rsidR="00A31A44" w:rsidRDefault="00000000" w:rsidP="008B7184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Using Visual Paradigm Online, the following Entity Relationship Diagram was created to represent three business rules centered around a USER entity. The diagram uses Visual Paradigm’s notation style </w:t>
      </w:r>
      <w:r w:rsidR="00A90DE9">
        <w:rPr>
          <w:sz w:val="22"/>
          <w:szCs w:val="22"/>
        </w:rPr>
        <w:t>--</w:t>
      </w:r>
      <w:r>
        <w:rPr>
          <w:sz w:val="22"/>
          <w:szCs w:val="22"/>
        </w:rPr>
        <w:t xml:space="preserve"> dashed relationship lines with a single perpendicular tick on the “one” side (1.1) and an open circle with a crow’s foot on the “many” side (1.*), with multiplicity labels placed near each entity end.</w:t>
      </w:r>
    </w:p>
    <w:p w14:paraId="40071E9F" w14:textId="77777777" w:rsidR="0073067D" w:rsidRDefault="0073067D" w:rsidP="008B7184">
      <w:pPr>
        <w:jc w:val="both"/>
      </w:pPr>
    </w:p>
    <w:p w14:paraId="561C1500" w14:textId="77777777" w:rsidR="00A31A44" w:rsidRDefault="00A31A44" w:rsidP="008B7184">
      <w:pPr>
        <w:jc w:val="both"/>
      </w:pPr>
    </w:p>
    <w:p w14:paraId="0E5E8CAD" w14:textId="77777777" w:rsidR="00A31A44" w:rsidRDefault="00000000" w:rsidP="008B7184">
      <w:pPr>
        <w:jc w:val="both"/>
      </w:pPr>
      <w:r>
        <w:rPr>
          <w:b/>
          <w:bCs/>
          <w:sz w:val="22"/>
          <w:szCs w:val="22"/>
        </w:rPr>
        <w:t>Business Rules Modeled:</w:t>
      </w:r>
    </w:p>
    <w:p w14:paraId="5C477CFF" w14:textId="77777777" w:rsidR="00A31A44" w:rsidRDefault="00000000" w:rsidP="008B7184">
      <w:pPr>
        <w:jc w:val="both"/>
      </w:pPr>
      <w:r>
        <w:rPr>
          <w:sz w:val="22"/>
          <w:szCs w:val="22"/>
        </w:rPr>
        <w:t xml:space="preserve">  •  A USER has many ROLES  —  1.1 (USER) to 1.* (ROLE)</w:t>
      </w:r>
    </w:p>
    <w:p w14:paraId="3D932CA9" w14:textId="77777777" w:rsidR="00A31A44" w:rsidRDefault="00000000" w:rsidP="008B7184">
      <w:pPr>
        <w:jc w:val="both"/>
      </w:pPr>
      <w:r>
        <w:rPr>
          <w:sz w:val="22"/>
          <w:szCs w:val="22"/>
        </w:rPr>
        <w:t xml:space="preserve">  •  A USER has one BIRTHDATE  —  1.1 (USER) to 1.1 (BIRTHDATE)</w:t>
      </w:r>
    </w:p>
    <w:p w14:paraId="52252A0F" w14:textId="77777777" w:rsidR="00A31A44" w:rsidRDefault="00000000" w:rsidP="008B7184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•  A USER can have many DEPENDENTS  —  1.1 (USER) to 1.* (DEPENDENT)</w:t>
      </w:r>
    </w:p>
    <w:p w14:paraId="76CB530B" w14:textId="77777777" w:rsidR="00A31A44" w:rsidRDefault="00A31A44" w:rsidP="008B7184">
      <w:pPr>
        <w:jc w:val="both"/>
      </w:pPr>
    </w:p>
    <w:p w14:paraId="713DC5C7" w14:textId="77777777" w:rsidR="00A31A44" w:rsidRDefault="00000000" w:rsidP="008B7184">
      <w:pPr>
        <w:jc w:val="both"/>
      </w:pPr>
      <w:r>
        <w:rPr>
          <w:noProof/>
        </w:rPr>
        <w:drawing>
          <wp:inline distT="0" distB="0" distL="0" distR="0" wp14:anchorId="4BD237C4" wp14:editId="5AB24640">
            <wp:extent cx="5334000" cy="4152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DF25A" w14:textId="77777777" w:rsidR="00F9171B" w:rsidRDefault="00F9171B" w:rsidP="008B7184">
      <w:pPr>
        <w:jc w:val="both"/>
        <w:rPr>
          <w:i/>
          <w:iCs/>
          <w:color w:val="555555"/>
          <w:sz w:val="18"/>
          <w:szCs w:val="18"/>
        </w:rPr>
      </w:pPr>
    </w:p>
    <w:p w14:paraId="69D95C00" w14:textId="5417329F" w:rsidR="00A31A44" w:rsidRDefault="00000000" w:rsidP="008B7184">
      <w:pPr>
        <w:jc w:val="both"/>
      </w:pPr>
      <w:r>
        <w:rPr>
          <w:i/>
          <w:iCs/>
          <w:color w:val="555555"/>
          <w:sz w:val="18"/>
          <w:szCs w:val="18"/>
        </w:rPr>
        <w:t>Figure 1: ERD created in Visual Paradigm Online — USER with ROLES, BIRTHDATE, and DEPENDENTS</w:t>
      </w:r>
    </w:p>
    <w:p w14:paraId="52AB5DD1" w14:textId="77777777" w:rsidR="00A31A44" w:rsidRDefault="00A31A44" w:rsidP="008B7184">
      <w:pPr>
        <w:jc w:val="both"/>
      </w:pPr>
    </w:p>
    <w:p w14:paraId="133AF165" w14:textId="77777777" w:rsidR="00A31A44" w:rsidRDefault="00000000" w:rsidP="008B7184">
      <w:pPr>
        <w:jc w:val="both"/>
      </w:pPr>
      <w:r>
        <w:rPr>
          <w:sz w:val="22"/>
          <w:szCs w:val="22"/>
        </w:rPr>
        <w:t xml:space="preserve">In the diagram, each dashed relationship line carries multiplicity labels at both ends using Visual Paradigm’s notation. The label 1.1 with a single perpendicular tick means exactly one instance participates in the relationship, while 1.* with an open circle and crow’s foot means one or more instances. The USER–ROLE relationship is One-to-Many: one USER (1.1) must be assigned at least one </w:t>
      </w:r>
      <w:proofErr w:type="gramStart"/>
      <w:r>
        <w:rPr>
          <w:sz w:val="22"/>
          <w:szCs w:val="22"/>
        </w:rPr>
        <w:t>ROLE, and</w:t>
      </w:r>
      <w:proofErr w:type="gramEnd"/>
      <w:r>
        <w:rPr>
          <w:sz w:val="22"/>
          <w:szCs w:val="22"/>
        </w:rPr>
        <w:t xml:space="preserve"> can hold multiple ROLEs (1.*), such as Admin or Editor. The USER–BIRTHDATE relationship is One-to-One: each USER (1.1) has exactly one BIRTHDATE record (1.1), and that birthdate belongs to that user alone — no sharing, no duplicates. The USER–DEPENDENT relationship is One-to-Many: one USER (1.1) can be associated with one or more DEPENDENTs (1.*), meaning every user in this system is expected to have at least one dependent on record.</w:t>
      </w:r>
    </w:p>
    <w:p w14:paraId="574B7AB2" w14:textId="77777777" w:rsidR="00A31A44" w:rsidRDefault="00A31A44" w:rsidP="008B7184">
      <w:pPr>
        <w:jc w:val="both"/>
      </w:pPr>
    </w:p>
    <w:p w14:paraId="05AED1B0" w14:textId="77777777" w:rsidR="00A31A44" w:rsidRDefault="00A31A44" w:rsidP="008B7184">
      <w:pPr>
        <w:jc w:val="both"/>
      </w:pPr>
    </w:p>
    <w:p w14:paraId="1EAF0A4E" w14:textId="77777777" w:rsidR="00A31A44" w:rsidRDefault="00000000" w:rsidP="008B7184">
      <w:pPr>
        <w:pStyle w:val="Heading2"/>
        <w:jc w:val="both"/>
      </w:pPr>
      <w:r>
        <w:rPr>
          <w:sz w:val="26"/>
          <w:szCs w:val="26"/>
        </w:rPr>
        <w:t>Part 2: NoSQL Data Structure</w:t>
      </w:r>
    </w:p>
    <w:p w14:paraId="5DEEBBAB" w14:textId="650BD825" w:rsidR="00A31A44" w:rsidRDefault="00000000" w:rsidP="008B7184">
      <w:pPr>
        <w:jc w:val="both"/>
      </w:pPr>
      <w:r>
        <w:rPr>
          <w:sz w:val="22"/>
          <w:szCs w:val="22"/>
        </w:rPr>
        <w:t xml:space="preserve">The same three business rules are translated below into a NoSQL document structure. Rather than splitting data across multiple joined tables, NoSQL embeds related data directly within the parent document. This makes the document self-contained and language agnostic, which is one of the core advantages driving the adoption of NoSQL technologies (Fowler &amp; </w:t>
      </w:r>
      <w:proofErr w:type="spellStart"/>
      <w:r>
        <w:rPr>
          <w:sz w:val="22"/>
          <w:szCs w:val="22"/>
        </w:rPr>
        <w:t>Sadalage</w:t>
      </w:r>
      <w:proofErr w:type="spellEnd"/>
      <w:r>
        <w:rPr>
          <w:sz w:val="22"/>
          <w:szCs w:val="22"/>
        </w:rPr>
        <w:t>, 2012).</w:t>
      </w:r>
    </w:p>
    <w:p w14:paraId="2AA26870" w14:textId="036F6E8E" w:rsidR="00A31A44" w:rsidRDefault="00000000" w:rsidP="008B7184">
      <w:pPr>
        <w:jc w:val="both"/>
      </w:pPr>
      <w:r>
        <w:rPr>
          <w:noProof/>
        </w:rPr>
        <w:drawing>
          <wp:inline distT="0" distB="0" distL="0" distR="0" wp14:anchorId="043DDC3F" wp14:editId="54370BF1">
            <wp:extent cx="4572000" cy="4705350"/>
            <wp:effectExtent l="0" t="0" r="0" b="0"/>
            <wp:docPr id="803487521" name="Picture 803487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D57F2" w14:textId="70E03966" w:rsidR="00A31A44" w:rsidRDefault="00000000" w:rsidP="008B7184">
      <w:pPr>
        <w:jc w:val="both"/>
      </w:pPr>
      <w:r>
        <w:rPr>
          <w:i/>
          <w:iCs/>
          <w:color w:val="555555"/>
          <w:sz w:val="18"/>
          <w:szCs w:val="18"/>
        </w:rPr>
        <w:t>Figure 2: NoSQL Document Structure — USER with embedded ROLES, BIRTHDATE, and DEPENDENTS</w:t>
      </w:r>
    </w:p>
    <w:p w14:paraId="010546FD" w14:textId="77777777" w:rsidR="00A31A44" w:rsidRDefault="00000000" w:rsidP="008B7184">
      <w:pPr>
        <w:jc w:val="both"/>
      </w:pPr>
      <w:r>
        <w:rPr>
          <w:sz w:val="22"/>
          <w:szCs w:val="22"/>
        </w:rPr>
        <w:t>The NoSQL document reflects all three ERD relationships in a denormalized format. The “birthdate” field is an embedded sub-document, matching the 1.1 relationship — exactly one birthdate object per user. The “roles” field is a nested array of objects, matching the 1.* relationship — one or more role entries per user. The “dependents” field is likewise an array, capturing the 1.* relationship between USER and DEPENDENT. Unlike the relational model, no JOIN operations are required; the complete user profile is retrieved in a single document read.</w:t>
      </w:r>
    </w:p>
    <w:p w14:paraId="428115F3" w14:textId="77777777" w:rsidR="00A31A44" w:rsidRDefault="00A31A44" w:rsidP="008B7184">
      <w:pPr>
        <w:jc w:val="both"/>
      </w:pPr>
    </w:p>
    <w:p w14:paraId="6D33F467" w14:textId="77777777" w:rsidR="00A31A44" w:rsidRDefault="00A31A44"/>
    <w:p w14:paraId="7D33F2A6" w14:textId="77777777" w:rsidR="00A31A44" w:rsidRDefault="00000000">
      <w:pPr>
        <w:rPr>
          <w:b/>
          <w:bCs/>
        </w:rPr>
      </w:pPr>
      <w:r>
        <w:rPr>
          <w:b/>
          <w:bCs/>
        </w:rPr>
        <w:t>References</w:t>
      </w:r>
    </w:p>
    <w:p w14:paraId="06F3DCE9" w14:textId="77777777" w:rsidR="00E10F7F" w:rsidRDefault="00E10F7F"/>
    <w:p w14:paraId="4CF0C569" w14:textId="77777777" w:rsidR="00A31A44" w:rsidRDefault="00000000" w:rsidP="00E10F7F">
      <w:r>
        <w:rPr>
          <w:sz w:val="20"/>
          <w:szCs w:val="20"/>
        </w:rPr>
        <w:t xml:space="preserve">Fowler, M., &amp; </w:t>
      </w:r>
      <w:proofErr w:type="spellStart"/>
      <w:r>
        <w:rPr>
          <w:sz w:val="20"/>
          <w:szCs w:val="20"/>
        </w:rPr>
        <w:t>Sadalage</w:t>
      </w:r>
      <w:proofErr w:type="spellEnd"/>
      <w:r>
        <w:rPr>
          <w:sz w:val="20"/>
          <w:szCs w:val="20"/>
        </w:rPr>
        <w:t>, P. J. (2012). NoSQL distilled: A brief guide to the emerging world of polyglot persistence. Addison-Wesley.</w:t>
      </w:r>
    </w:p>
    <w:sectPr w:rsidR="00A31A4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A74BEC"/>
    <w:multiLevelType w:val="hybridMultilevel"/>
    <w:tmpl w:val="EAE04580"/>
    <w:lvl w:ilvl="0" w:tplc="D292A20C">
      <w:start w:val="1"/>
      <w:numFmt w:val="bullet"/>
      <w:lvlText w:val="●"/>
      <w:lvlJc w:val="left"/>
      <w:pPr>
        <w:ind w:left="720" w:hanging="360"/>
      </w:pPr>
    </w:lvl>
    <w:lvl w:ilvl="1" w:tplc="1A7C5220">
      <w:start w:val="1"/>
      <w:numFmt w:val="bullet"/>
      <w:lvlText w:val="○"/>
      <w:lvlJc w:val="left"/>
      <w:pPr>
        <w:ind w:left="1440" w:hanging="360"/>
      </w:pPr>
    </w:lvl>
    <w:lvl w:ilvl="2" w:tplc="28DE3068">
      <w:start w:val="1"/>
      <w:numFmt w:val="bullet"/>
      <w:lvlText w:val="■"/>
      <w:lvlJc w:val="left"/>
      <w:pPr>
        <w:ind w:left="2160" w:hanging="360"/>
      </w:pPr>
    </w:lvl>
    <w:lvl w:ilvl="3" w:tplc="76ECA700">
      <w:start w:val="1"/>
      <w:numFmt w:val="bullet"/>
      <w:lvlText w:val="●"/>
      <w:lvlJc w:val="left"/>
      <w:pPr>
        <w:ind w:left="2880" w:hanging="360"/>
      </w:pPr>
    </w:lvl>
    <w:lvl w:ilvl="4" w:tplc="466291F0">
      <w:start w:val="1"/>
      <w:numFmt w:val="bullet"/>
      <w:lvlText w:val="○"/>
      <w:lvlJc w:val="left"/>
      <w:pPr>
        <w:ind w:left="3600" w:hanging="360"/>
      </w:pPr>
    </w:lvl>
    <w:lvl w:ilvl="5" w:tplc="466CFBBA">
      <w:start w:val="1"/>
      <w:numFmt w:val="bullet"/>
      <w:lvlText w:val="■"/>
      <w:lvlJc w:val="left"/>
      <w:pPr>
        <w:ind w:left="4320" w:hanging="360"/>
      </w:pPr>
    </w:lvl>
    <w:lvl w:ilvl="6" w:tplc="DA7EA798">
      <w:start w:val="1"/>
      <w:numFmt w:val="bullet"/>
      <w:lvlText w:val="●"/>
      <w:lvlJc w:val="left"/>
      <w:pPr>
        <w:ind w:left="5040" w:hanging="360"/>
      </w:pPr>
    </w:lvl>
    <w:lvl w:ilvl="7" w:tplc="2280FDDE">
      <w:start w:val="1"/>
      <w:numFmt w:val="bullet"/>
      <w:lvlText w:val="●"/>
      <w:lvlJc w:val="left"/>
      <w:pPr>
        <w:ind w:left="5760" w:hanging="360"/>
      </w:pPr>
    </w:lvl>
    <w:lvl w:ilvl="8" w:tplc="F1945F20">
      <w:start w:val="1"/>
      <w:numFmt w:val="bullet"/>
      <w:lvlText w:val="●"/>
      <w:lvlJc w:val="left"/>
      <w:pPr>
        <w:ind w:left="6480" w:hanging="360"/>
      </w:pPr>
    </w:lvl>
  </w:abstractNum>
  <w:num w:numId="1" w16cid:durableId="16443833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A44"/>
    <w:rsid w:val="000D39C9"/>
    <w:rsid w:val="001123B1"/>
    <w:rsid w:val="0073067D"/>
    <w:rsid w:val="008B7184"/>
    <w:rsid w:val="00A31A44"/>
    <w:rsid w:val="00A90DE9"/>
    <w:rsid w:val="00E10F7F"/>
    <w:rsid w:val="00F9171B"/>
    <w:rsid w:val="00FE3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C72DA"/>
  <w15:docId w15:val="{DC4258B5-F74D-423F-B96C-CEB3A8243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120"/>
      <w:outlineLvl w:val="0"/>
    </w:pPr>
    <w:rPr>
      <w:b/>
      <w:bCs/>
      <w:color w:val="1A3C6E"/>
      <w:sz w:val="28"/>
      <w:szCs w:val="28"/>
    </w:rPr>
  </w:style>
  <w:style w:type="paragraph" w:styleId="Heading2">
    <w:name w:val="heading 2"/>
    <w:uiPriority w:val="9"/>
    <w:unhideWhenUsed/>
    <w:qFormat/>
    <w:pPr>
      <w:spacing w:before="160" w:after="80"/>
      <w:outlineLvl w:val="1"/>
    </w:pPr>
    <w:rPr>
      <w:b/>
      <w:bCs/>
      <w:color w:val="1A3C6E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436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rakesh shrestha</cp:lastModifiedBy>
  <cp:revision>3</cp:revision>
  <dcterms:created xsi:type="dcterms:W3CDTF">2026-06-20T07:36:00Z</dcterms:created>
  <dcterms:modified xsi:type="dcterms:W3CDTF">2026-06-20T07:37:00Z</dcterms:modified>
</cp:coreProperties>
</file>