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25D49" w14:textId="77777777" w:rsidR="000F46CB" w:rsidRPr="00154FB6" w:rsidRDefault="00000000">
      <w:pPr>
        <w:jc w:val="center"/>
        <w:rPr>
          <w:rFonts w:ascii="Calibri" w:hAnsi="Calibri" w:cs="Calibri"/>
          <w:b/>
          <w:bCs/>
          <w:sz w:val="28"/>
          <w:szCs w:val="28"/>
        </w:rPr>
      </w:pPr>
      <w:r w:rsidRPr="00154FB6">
        <w:rPr>
          <w:rFonts w:ascii="Calibri" w:hAnsi="Calibri" w:cs="Calibri"/>
          <w:b/>
          <w:bCs/>
          <w:sz w:val="28"/>
          <w:szCs w:val="28"/>
        </w:rPr>
        <w:t>Case Study: Operation InVersion at LinkedIn (2011)</w:t>
      </w:r>
    </w:p>
    <w:p w14:paraId="2252E6E7" w14:textId="77777777" w:rsidR="00154FB6" w:rsidRDefault="00154FB6">
      <w:pPr>
        <w:jc w:val="center"/>
      </w:pPr>
    </w:p>
    <w:p w14:paraId="1301826E" w14:textId="77777777" w:rsidR="000F46CB" w:rsidRPr="00154FB6" w:rsidRDefault="00000000">
      <w:pPr>
        <w:spacing w:after="200"/>
        <w:jc w:val="center"/>
        <w:rPr>
          <w:rFonts w:ascii="Calibri" w:hAnsi="Calibri" w:cs="Calibri"/>
          <w:sz w:val="28"/>
          <w:szCs w:val="28"/>
        </w:rPr>
      </w:pPr>
      <w:r w:rsidRPr="00154FB6">
        <w:rPr>
          <w:rFonts w:ascii="Calibri" w:hAnsi="Calibri" w:cs="Calibri"/>
          <w:sz w:val="28"/>
          <w:szCs w:val="28"/>
        </w:rPr>
        <w:t>Rakesh Shrestha</w:t>
      </w:r>
    </w:p>
    <w:p w14:paraId="3BF55F52" w14:textId="77777777" w:rsidR="000F46CB" w:rsidRPr="00154FB6" w:rsidRDefault="00000000">
      <w:pPr>
        <w:jc w:val="center"/>
        <w:rPr>
          <w:rFonts w:ascii="Calibri" w:hAnsi="Calibri" w:cs="Calibri"/>
          <w:sz w:val="28"/>
          <w:szCs w:val="28"/>
        </w:rPr>
      </w:pPr>
      <w:r w:rsidRPr="00154FB6">
        <w:rPr>
          <w:rFonts w:ascii="Calibri" w:hAnsi="Calibri" w:cs="Calibri"/>
          <w:sz w:val="28"/>
          <w:szCs w:val="28"/>
        </w:rPr>
        <w:t>CSD-380: DevOps</w:t>
      </w:r>
    </w:p>
    <w:p w14:paraId="4F56B0D1" w14:textId="77777777" w:rsidR="000F46CB" w:rsidRPr="00154FB6" w:rsidRDefault="00000000">
      <w:pPr>
        <w:jc w:val="center"/>
        <w:rPr>
          <w:rFonts w:ascii="Calibri" w:hAnsi="Calibri" w:cs="Calibri"/>
          <w:sz w:val="28"/>
          <w:szCs w:val="28"/>
        </w:rPr>
      </w:pPr>
      <w:r w:rsidRPr="00154FB6">
        <w:rPr>
          <w:rFonts w:ascii="Calibri" w:hAnsi="Calibri" w:cs="Calibri"/>
          <w:sz w:val="28"/>
          <w:szCs w:val="28"/>
        </w:rPr>
        <w:t>Bellevue University</w:t>
      </w:r>
    </w:p>
    <w:p w14:paraId="4BCA2E92" w14:textId="77777777" w:rsidR="000F46CB" w:rsidRPr="00154FB6" w:rsidRDefault="00000000">
      <w:pPr>
        <w:spacing w:after="400"/>
        <w:jc w:val="center"/>
        <w:rPr>
          <w:rFonts w:ascii="Calibri" w:hAnsi="Calibri" w:cs="Calibri"/>
          <w:sz w:val="28"/>
          <w:szCs w:val="28"/>
        </w:rPr>
      </w:pPr>
      <w:r w:rsidRPr="00154FB6">
        <w:rPr>
          <w:rFonts w:ascii="Calibri" w:hAnsi="Calibri" w:cs="Calibri"/>
          <w:sz w:val="28"/>
          <w:szCs w:val="28"/>
        </w:rPr>
        <w:t>Module 2.2 Assignment</w:t>
      </w:r>
    </w:p>
    <w:p w14:paraId="26697F6B" w14:textId="77777777" w:rsidR="000F46CB" w:rsidRPr="00154FB6" w:rsidRDefault="00000000">
      <w:pPr>
        <w:pStyle w:val="Heading2"/>
        <w:spacing w:before="200" w:after="120"/>
        <w:rPr>
          <w:rFonts w:ascii="Calibri" w:hAnsi="Calibri" w:cs="Calibri"/>
          <w:sz w:val="28"/>
          <w:szCs w:val="28"/>
        </w:rPr>
      </w:pPr>
      <w:r w:rsidRPr="00154FB6">
        <w:rPr>
          <w:rFonts w:ascii="Calibri" w:hAnsi="Calibri" w:cs="Calibri"/>
          <w:sz w:val="28"/>
          <w:szCs w:val="28"/>
        </w:rPr>
        <w:t>Summary</w:t>
      </w:r>
    </w:p>
    <w:p w14:paraId="3849E052" w14:textId="77777777" w:rsidR="000F46CB" w:rsidRPr="00154FB6" w:rsidRDefault="00000000" w:rsidP="00154FB6">
      <w:pPr>
        <w:spacing w:after="200"/>
        <w:jc w:val="both"/>
        <w:rPr>
          <w:rFonts w:ascii="Calibri" w:hAnsi="Calibri" w:cs="Calibri"/>
          <w:sz w:val="24"/>
          <w:szCs w:val="24"/>
        </w:rPr>
      </w:pPr>
      <w:r w:rsidRPr="00154FB6">
        <w:rPr>
          <w:rFonts w:ascii="Calibri" w:hAnsi="Calibri" w:cs="Calibri"/>
          <w:sz w:val="24"/>
          <w:szCs w:val="24"/>
        </w:rPr>
        <w:t>By 2010, LinkedIn's growth had outpaced the system that was supporting it. The site launched in 2003 running on Leo, a monolithic Java application that handled nearly every page and every database connection to the company's back-end Oracle systems. Even after LinkedIn split two high-traffic pieces out of Leo, the connection graph and member search, Leo itself was still only being deployed once every two weeks. At the same time, close to a hundred newer services ran around it. Josh Clemm, a senior engineering manager at the company, described Leo as frequently going down in production, difficult to troubleshoot and recover, and difficult to release new code against.</w:t>
      </w:r>
    </w:p>
    <w:p w14:paraId="052F8954" w14:textId="77777777" w:rsidR="000F46CB" w:rsidRPr="00154FB6" w:rsidRDefault="00000000" w:rsidP="00154FB6">
      <w:pPr>
        <w:spacing w:after="200"/>
        <w:jc w:val="both"/>
        <w:rPr>
          <w:rFonts w:ascii="Calibri" w:hAnsi="Calibri" w:cs="Calibri"/>
          <w:sz w:val="24"/>
          <w:szCs w:val="24"/>
        </w:rPr>
      </w:pPr>
      <w:r w:rsidRPr="00154FB6">
        <w:rPr>
          <w:rFonts w:ascii="Calibri" w:hAnsi="Calibri" w:cs="Calibri"/>
          <w:sz w:val="24"/>
          <w:szCs w:val="24"/>
        </w:rPr>
        <w:t>By fall of 2011, just months after LinkedIn's IPO, the late nights spent firefighting deployment problems had gone from an occasional bonding activity to something the team could no longer tolerate. Kevin Scott, who had joined as VP of Engineering shortly before the IPO, made the call to stop all new feature development and put the entire engineering organization on fixing the underlying infrastructure instead. They called the effort Operation InVersion. Scott later admitted it was a scary decision, since it meant telling the business and the public markets that nothing new would ship for two months right after going public. Still, he used the moment to set a cultural expectation that infrastructure work was not optional.</w:t>
      </w:r>
    </w:p>
    <w:p w14:paraId="0BB3FF56" w14:textId="77777777" w:rsidR="000F46CB" w:rsidRPr="00154FB6" w:rsidRDefault="00000000" w:rsidP="00154FB6">
      <w:pPr>
        <w:spacing w:after="200"/>
        <w:jc w:val="both"/>
        <w:rPr>
          <w:rFonts w:ascii="Calibri" w:hAnsi="Calibri" w:cs="Calibri"/>
          <w:sz w:val="24"/>
          <w:szCs w:val="24"/>
        </w:rPr>
      </w:pPr>
      <w:r w:rsidRPr="00154FB6">
        <w:rPr>
          <w:rFonts w:ascii="Calibri" w:hAnsi="Calibri" w:cs="Calibri"/>
          <w:sz w:val="24"/>
          <w:szCs w:val="24"/>
        </w:rPr>
        <w:t>The two-month investment paid off. LinkedIn's engineers built new tooling and automated testing that let a service be written, checked against existing features for bugs and conflicts, and pushed straight to the live site. Where the company once dreaded releases, it moved to performing major upgrades three times a day. Clemm also pointed out the organizational scaling that came out of the effort: LinkedIn had around 150 separate services in 2010 and grew to more than 750 afterward, and Operation InVersion is what gave the team the tooling, deployment process, and developer productivity needed to manage that growth safely.</w:t>
      </w:r>
    </w:p>
    <w:p w14:paraId="135732FA" w14:textId="77777777" w:rsidR="000F46CB" w:rsidRPr="00154FB6" w:rsidRDefault="00000000">
      <w:pPr>
        <w:pStyle w:val="Heading2"/>
        <w:spacing w:before="200" w:after="120"/>
        <w:rPr>
          <w:rFonts w:ascii="Calibri" w:hAnsi="Calibri" w:cs="Calibri"/>
          <w:sz w:val="28"/>
          <w:szCs w:val="28"/>
        </w:rPr>
      </w:pPr>
      <w:r w:rsidRPr="00154FB6">
        <w:rPr>
          <w:rFonts w:ascii="Calibri" w:hAnsi="Calibri" w:cs="Calibri"/>
          <w:sz w:val="28"/>
          <w:szCs w:val="28"/>
        </w:rPr>
        <w:t>Lessons Learned</w:t>
      </w:r>
    </w:p>
    <w:p w14:paraId="134B6528" w14:textId="77777777" w:rsidR="000F46CB" w:rsidRPr="00154FB6" w:rsidRDefault="00000000" w:rsidP="00154FB6">
      <w:pPr>
        <w:spacing w:after="200"/>
        <w:jc w:val="both"/>
        <w:rPr>
          <w:rFonts w:ascii="Calibri" w:hAnsi="Calibri" w:cs="Calibri"/>
          <w:sz w:val="24"/>
          <w:szCs w:val="24"/>
        </w:rPr>
      </w:pPr>
      <w:r w:rsidRPr="00154FB6">
        <w:rPr>
          <w:rFonts w:ascii="Calibri" w:hAnsi="Calibri" w:cs="Calibri"/>
          <w:sz w:val="24"/>
          <w:szCs w:val="24"/>
        </w:rPr>
        <w:t>The first lesson from this case is that technical debt needs to be budgeted for continuously, not dealt with only once it becomes a crisis. LinkedIn let years of shortcuts build up inside Leo, and it eventually cost the company two full months of a complete feature freeze at one of the riskiest possible times, right after going public. If a team instead sets aside dedicated time in every cycle to fix known problems and address non-functional requirements, it can avoid getting backed into that kind of near-death situation later.</w:t>
      </w:r>
    </w:p>
    <w:p w14:paraId="4E747C2F" w14:textId="77777777" w:rsidR="000F46CB" w:rsidRPr="00154FB6" w:rsidRDefault="00000000" w:rsidP="00154FB6">
      <w:pPr>
        <w:spacing w:after="200"/>
        <w:jc w:val="both"/>
        <w:rPr>
          <w:rFonts w:ascii="Calibri" w:hAnsi="Calibri" w:cs="Calibri"/>
          <w:sz w:val="24"/>
          <w:szCs w:val="24"/>
        </w:rPr>
      </w:pPr>
      <w:r w:rsidRPr="00154FB6">
        <w:rPr>
          <w:rFonts w:ascii="Calibri" w:hAnsi="Calibri" w:cs="Calibri"/>
          <w:sz w:val="24"/>
          <w:szCs w:val="24"/>
        </w:rPr>
        <w:lastRenderedPageBreak/>
        <w:t>The second lesson is that this kind of investment is as much an organizational decision as it is a technical one. Kevin Scott's comment about taking a CEO's perspective on engineering work is a good reminder that infrastructure and tooling improvements should be judged by whether they help the business succeed, not dismissed as work that only matters to engineers. LinkedIn's leadership accepted real short-term risk with investors and the public markets because they believed the long-term stability was worth it, and the results, including fewer emergency late nights, safer and faster deployments, and room to grow from about 150 to more than 750 services, demonstrate the value of that investment.</w:t>
      </w:r>
    </w:p>
    <w:p w14:paraId="4641C8CE" w14:textId="7ECF9888" w:rsidR="00154FB6" w:rsidRDefault="00000000" w:rsidP="00154FB6">
      <w:pPr>
        <w:spacing w:after="200"/>
        <w:jc w:val="both"/>
        <w:rPr>
          <w:rFonts w:ascii="Calibri" w:hAnsi="Calibri" w:cs="Calibri"/>
          <w:sz w:val="24"/>
          <w:szCs w:val="24"/>
        </w:rPr>
      </w:pPr>
      <w:r w:rsidRPr="00154FB6">
        <w:rPr>
          <w:rFonts w:ascii="Calibri" w:hAnsi="Calibri" w:cs="Calibri"/>
          <w:sz w:val="24"/>
          <w:szCs w:val="24"/>
        </w:rPr>
        <w:t>The last lesson is that making problems visible and giving a team the authority and time actually to fix them is what changes outcomes. LinkedIn did not just discuss the need for better architecture; it paused nearly everything else so the whole engineering organization could focus on it together. That combination of visibility into the problem, dedicated time to solve it, and leadership buy-in turned a fragile, high-risk deployment process into one that could support the company's continued growth.</w:t>
      </w:r>
    </w:p>
    <w:p w14:paraId="237CAE7A" w14:textId="77777777" w:rsidR="001B65D2" w:rsidRPr="00154FB6" w:rsidRDefault="001B65D2" w:rsidP="00154FB6">
      <w:pPr>
        <w:spacing w:after="200"/>
        <w:jc w:val="both"/>
        <w:rPr>
          <w:rFonts w:ascii="Calibri" w:hAnsi="Calibri" w:cs="Calibri"/>
          <w:sz w:val="24"/>
          <w:szCs w:val="24"/>
        </w:rPr>
      </w:pPr>
    </w:p>
    <w:p w14:paraId="0137BEB6" w14:textId="77777777" w:rsidR="000F46CB" w:rsidRDefault="00000000">
      <w:pPr>
        <w:pStyle w:val="Heading2"/>
        <w:spacing w:before="200" w:after="120"/>
      </w:pPr>
      <w:r>
        <w:t>References</w:t>
      </w:r>
    </w:p>
    <w:p w14:paraId="529BFEC5" w14:textId="77777777" w:rsidR="000F46CB" w:rsidRPr="00154FB6" w:rsidRDefault="00000000">
      <w:pPr>
        <w:ind w:left="720" w:hanging="720"/>
        <w:rPr>
          <w:rFonts w:ascii="Calibri" w:hAnsi="Calibri" w:cs="Calibri"/>
          <w:sz w:val="24"/>
          <w:szCs w:val="24"/>
        </w:rPr>
      </w:pPr>
      <w:r w:rsidRPr="00154FB6">
        <w:rPr>
          <w:rFonts w:ascii="Calibri" w:hAnsi="Calibri" w:cs="Calibri"/>
          <w:sz w:val="24"/>
          <w:szCs w:val="24"/>
        </w:rPr>
        <w:t>Kim, G., Humble, J., Debois, P., Willis, J., &amp; Forsgren, N. (2021). The DevOps handbook: How to create world-class agility, reliability, &amp; security in technology organizations (2nd ed.). IT Revolution.</w:t>
      </w:r>
    </w:p>
    <w:sectPr w:rsidR="000F46CB" w:rsidRPr="00154FB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820854"/>
    <w:multiLevelType w:val="hybridMultilevel"/>
    <w:tmpl w:val="3D228D30"/>
    <w:lvl w:ilvl="0" w:tplc="F4E82DEA">
      <w:start w:val="1"/>
      <w:numFmt w:val="bullet"/>
      <w:lvlText w:val="●"/>
      <w:lvlJc w:val="left"/>
      <w:pPr>
        <w:ind w:left="720" w:hanging="360"/>
      </w:pPr>
    </w:lvl>
    <w:lvl w:ilvl="1" w:tplc="BBC40160">
      <w:start w:val="1"/>
      <w:numFmt w:val="bullet"/>
      <w:lvlText w:val="○"/>
      <w:lvlJc w:val="left"/>
      <w:pPr>
        <w:ind w:left="1440" w:hanging="360"/>
      </w:pPr>
    </w:lvl>
    <w:lvl w:ilvl="2" w:tplc="0B24D7C0">
      <w:start w:val="1"/>
      <w:numFmt w:val="bullet"/>
      <w:lvlText w:val="■"/>
      <w:lvlJc w:val="left"/>
      <w:pPr>
        <w:ind w:left="2160" w:hanging="360"/>
      </w:pPr>
    </w:lvl>
    <w:lvl w:ilvl="3" w:tplc="9D984DDC">
      <w:start w:val="1"/>
      <w:numFmt w:val="bullet"/>
      <w:lvlText w:val="●"/>
      <w:lvlJc w:val="left"/>
      <w:pPr>
        <w:ind w:left="2880" w:hanging="360"/>
      </w:pPr>
    </w:lvl>
    <w:lvl w:ilvl="4" w:tplc="6BB8EB52">
      <w:start w:val="1"/>
      <w:numFmt w:val="bullet"/>
      <w:lvlText w:val="○"/>
      <w:lvlJc w:val="left"/>
      <w:pPr>
        <w:ind w:left="3600" w:hanging="360"/>
      </w:pPr>
    </w:lvl>
    <w:lvl w:ilvl="5" w:tplc="689EFA96">
      <w:start w:val="1"/>
      <w:numFmt w:val="bullet"/>
      <w:lvlText w:val="■"/>
      <w:lvlJc w:val="left"/>
      <w:pPr>
        <w:ind w:left="4320" w:hanging="360"/>
      </w:pPr>
    </w:lvl>
    <w:lvl w:ilvl="6" w:tplc="ED10FF1A">
      <w:start w:val="1"/>
      <w:numFmt w:val="bullet"/>
      <w:lvlText w:val="●"/>
      <w:lvlJc w:val="left"/>
      <w:pPr>
        <w:ind w:left="5040" w:hanging="360"/>
      </w:pPr>
    </w:lvl>
    <w:lvl w:ilvl="7" w:tplc="415E3F12">
      <w:start w:val="1"/>
      <w:numFmt w:val="bullet"/>
      <w:lvlText w:val="●"/>
      <w:lvlJc w:val="left"/>
      <w:pPr>
        <w:ind w:left="5760" w:hanging="360"/>
      </w:pPr>
    </w:lvl>
    <w:lvl w:ilvl="8" w:tplc="0FFEE102">
      <w:start w:val="1"/>
      <w:numFmt w:val="bullet"/>
      <w:lvlText w:val="●"/>
      <w:lvlJc w:val="left"/>
      <w:pPr>
        <w:ind w:left="6480" w:hanging="360"/>
      </w:pPr>
    </w:lvl>
  </w:abstractNum>
  <w:num w:numId="1" w16cid:durableId="5900476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6CB"/>
    <w:rsid w:val="000F46CB"/>
    <w:rsid w:val="00154FB6"/>
    <w:rsid w:val="001B65D2"/>
    <w:rsid w:val="00E3472E"/>
    <w:rsid w:val="00F86A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22A00"/>
  <w15:docId w15:val="{241CD691-90A9-4D48-AF35-1020E63F7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618</Words>
  <Characters>3526</Characters>
  <Application>Microsoft Office Word</Application>
  <DocSecurity>0</DocSecurity>
  <Lines>29</Lines>
  <Paragraphs>8</Paragraphs>
  <ScaleCrop>false</ScaleCrop>
  <Company/>
  <LinksUpToDate>false</LinksUpToDate>
  <CharactersWithSpaces>4136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rakesh shrestha</cp:lastModifiedBy>
  <cp:revision>5</cp:revision>
  <dcterms:created xsi:type="dcterms:W3CDTF">2026-09-18T03:22:00Z</dcterms:created>
  <dcterms:modified xsi:type="dcterms:W3CDTF">2026-09-18T03:34:00Z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2dd07fc4-977f-4f0e-b426-1ab53c7f2979</vt:lpwstr>
  </property>
</Properties>
</file>