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0A4274" w14:textId="77777777" w:rsidR="00B10E76" w:rsidRPr="00B10E76" w:rsidRDefault="00B10E76" w:rsidP="00B10E76">
      <w:pPr>
        <w:rPr>
          <w:rFonts w:ascii="Calibri" w:hAnsi="Calibri" w:cs="Calibri"/>
        </w:rPr>
      </w:pPr>
      <w:r w:rsidRPr="00B10E76">
        <w:rPr>
          <w:rFonts w:ascii="Calibri" w:hAnsi="Calibri" w:cs="Calibri"/>
        </w:rPr>
        <w:t>Rakesh Shrestha</w:t>
      </w:r>
    </w:p>
    <w:p w14:paraId="33A44C62" w14:textId="77777777" w:rsidR="00B10E76" w:rsidRPr="00B10E76" w:rsidRDefault="00B10E76" w:rsidP="00B10E76">
      <w:pPr>
        <w:rPr>
          <w:rFonts w:ascii="Calibri" w:hAnsi="Calibri" w:cs="Calibri"/>
        </w:rPr>
      </w:pPr>
      <w:r w:rsidRPr="00B10E76">
        <w:rPr>
          <w:rFonts w:ascii="Calibri" w:hAnsi="Calibri" w:cs="Calibri"/>
        </w:rPr>
        <w:t>Bellevue University</w:t>
      </w:r>
    </w:p>
    <w:p w14:paraId="41132930" w14:textId="77777777" w:rsidR="00B10E76" w:rsidRPr="00B10E76" w:rsidRDefault="00B10E76" w:rsidP="00B10E76">
      <w:pPr>
        <w:rPr>
          <w:rFonts w:ascii="Calibri" w:hAnsi="Calibri" w:cs="Calibri"/>
        </w:rPr>
      </w:pPr>
      <w:r w:rsidRPr="00B10E76">
        <w:rPr>
          <w:rFonts w:ascii="Calibri" w:hAnsi="Calibri" w:cs="Calibri"/>
        </w:rPr>
        <w:t>CSD-380: DevOps</w:t>
      </w:r>
    </w:p>
    <w:p w14:paraId="171FEB42" w14:textId="77777777" w:rsidR="00B10E76" w:rsidRPr="00B10E76" w:rsidRDefault="00B10E76" w:rsidP="00B10E76">
      <w:pPr>
        <w:rPr>
          <w:rFonts w:ascii="Calibri" w:hAnsi="Calibri" w:cs="Calibri"/>
        </w:rPr>
      </w:pPr>
      <w:r w:rsidRPr="00B10E76">
        <w:rPr>
          <w:rFonts w:ascii="Calibri" w:hAnsi="Calibri" w:cs="Calibri"/>
        </w:rPr>
        <w:t>Instructor: Chandra Bobba</w:t>
      </w:r>
    </w:p>
    <w:p w14:paraId="3E910E21" w14:textId="77777777" w:rsidR="00B10E76" w:rsidRPr="00B10E76" w:rsidRDefault="00B10E76" w:rsidP="00B10E76">
      <w:pPr>
        <w:rPr>
          <w:rFonts w:ascii="Calibri" w:hAnsi="Calibri" w:cs="Calibri"/>
        </w:rPr>
      </w:pPr>
      <w:r w:rsidRPr="00B10E76">
        <w:rPr>
          <w:rFonts w:ascii="Calibri" w:hAnsi="Calibri" w:cs="Calibri"/>
        </w:rPr>
        <w:t>Module 6.2 Assignment</w:t>
      </w:r>
    </w:p>
    <w:p w14:paraId="5DD7E8F2" w14:textId="77777777" w:rsidR="00B10E76" w:rsidRPr="00B10E76" w:rsidRDefault="00B10E76" w:rsidP="00B10E76">
      <w:pPr>
        <w:rPr>
          <w:rFonts w:ascii="Calibri" w:hAnsi="Calibri" w:cs="Calibri"/>
        </w:rPr>
      </w:pPr>
      <w:r w:rsidRPr="00B10E76">
        <w:rPr>
          <w:rFonts w:ascii="Calibri" w:hAnsi="Calibri" w:cs="Calibri"/>
        </w:rPr>
        <w:t>October 18, 2026</w:t>
      </w:r>
    </w:p>
    <w:p w14:paraId="4282754F" w14:textId="77777777" w:rsidR="00B10E76" w:rsidRPr="00B10E76" w:rsidRDefault="00B10E76" w:rsidP="00B10E76">
      <w:pPr>
        <w:rPr>
          <w:rFonts w:ascii="Calibri" w:hAnsi="Calibri" w:cs="Calibri"/>
        </w:rPr>
      </w:pPr>
    </w:p>
    <w:p w14:paraId="3F106767" w14:textId="77777777" w:rsidR="00B10E76" w:rsidRPr="00B10E76" w:rsidRDefault="00B10E76" w:rsidP="00B10E76">
      <w:pPr>
        <w:jc w:val="both"/>
        <w:rPr>
          <w:rFonts w:ascii="Calibri" w:hAnsi="Calibri" w:cs="Calibri"/>
          <w:b/>
          <w:bCs/>
        </w:rPr>
      </w:pPr>
      <w:r w:rsidRPr="00B10E76">
        <w:rPr>
          <w:rFonts w:ascii="Calibri" w:hAnsi="Calibri" w:cs="Calibri"/>
          <w:b/>
          <w:bCs/>
        </w:rPr>
        <w:t>Case Study: Strangler Pattern at Blackboard Learn (2011)</w:t>
      </w:r>
    </w:p>
    <w:p w14:paraId="735BABF0" w14:textId="6C0836EC" w:rsidR="00B10E76" w:rsidRDefault="00B10E76" w:rsidP="00B10E76">
      <w:pPr>
        <w:jc w:val="both"/>
        <w:rPr>
          <w:rFonts w:ascii="Calibri" w:hAnsi="Calibri" w:cs="Calibri"/>
        </w:rPr>
      </w:pPr>
      <w:r w:rsidRPr="00B10E76">
        <w:rPr>
          <w:rFonts w:ascii="Calibri" w:hAnsi="Calibri" w:cs="Calibri"/>
        </w:rPr>
        <w:t xml:space="preserve">Chapter 13 of The DevOps Handbook argues that how a system is built determines how safely and how often a team can release it. Most of the well-known DevOps companies, including eBay, Amazon, Google, and LinkedIn, at some point had to move away from an architecture that no longer </w:t>
      </w:r>
      <w:r w:rsidR="005A05BE">
        <w:rPr>
          <w:rFonts w:ascii="Calibri" w:hAnsi="Calibri" w:cs="Calibri"/>
        </w:rPr>
        <w:t>fit</w:t>
      </w:r>
      <w:r w:rsidRPr="00B10E76">
        <w:rPr>
          <w:rFonts w:ascii="Calibri" w:hAnsi="Calibri" w:cs="Calibri"/>
        </w:rPr>
        <w:t xml:space="preserve"> their needs. The Blackboard Learn case study is one of the clearest examples in the chapter because it shows the problem with real data and then shows how a gradual change, instead of a full rewrite, turned things around (Kim et al., 2021). This paper summarizes the main points the authors make in the case study and the lessons I took away.  </w:t>
      </w:r>
    </w:p>
    <w:p w14:paraId="438BC58C" w14:textId="77777777" w:rsidR="00B10E76" w:rsidRPr="00B10E76" w:rsidRDefault="00B10E76" w:rsidP="00B10E76">
      <w:pPr>
        <w:jc w:val="both"/>
        <w:rPr>
          <w:rFonts w:ascii="Calibri" w:hAnsi="Calibri" w:cs="Calibri"/>
        </w:rPr>
      </w:pPr>
    </w:p>
    <w:p w14:paraId="1EE00802" w14:textId="77777777" w:rsidR="00B10E76" w:rsidRPr="00B10E76" w:rsidRDefault="00B10E76" w:rsidP="00B10E76">
      <w:pPr>
        <w:jc w:val="both"/>
        <w:rPr>
          <w:rFonts w:ascii="Calibri" w:hAnsi="Calibri" w:cs="Calibri"/>
          <w:b/>
          <w:bCs/>
        </w:rPr>
      </w:pPr>
      <w:r w:rsidRPr="00B10E76">
        <w:rPr>
          <w:rFonts w:ascii="Calibri" w:hAnsi="Calibri" w:cs="Calibri"/>
          <w:b/>
          <w:bCs/>
        </w:rPr>
        <w:t>Summary of the Case Study</w:t>
      </w:r>
    </w:p>
    <w:p w14:paraId="139FE4E9" w14:textId="77777777" w:rsidR="00B10E76" w:rsidRPr="00B10E76" w:rsidRDefault="00B10E76" w:rsidP="00B10E76">
      <w:pPr>
        <w:jc w:val="both"/>
        <w:rPr>
          <w:rFonts w:ascii="Calibri" w:hAnsi="Calibri" w:cs="Calibri"/>
        </w:rPr>
      </w:pPr>
      <w:r w:rsidRPr="00B10E76">
        <w:rPr>
          <w:rFonts w:ascii="Calibri" w:hAnsi="Calibri" w:cs="Calibri"/>
        </w:rPr>
        <w:t>In 2011, Blackboard Inc. was one of the leading providers of technology for schools and universities, with annual revenue of about $650 million. Its flagship product, Learn, was packaged software that customers installed and ran on their own servers. The problem was that the product ran on a legacy J2EE codebase dating back to 1997. Chief architect David Ashman admitted that the team still had "fragments of Perl code still embedded throughout our codebase" (as cited in Kim et al., 2021, Chapter 13). The code was old, mixed, and tightly coupled, so every change affected many other things.</w:t>
      </w:r>
    </w:p>
    <w:p w14:paraId="781D6A40" w14:textId="77777777" w:rsidR="00B10E76" w:rsidRPr="00B10E76" w:rsidRDefault="00B10E76" w:rsidP="00B10E76">
      <w:pPr>
        <w:jc w:val="both"/>
        <w:rPr>
          <w:rFonts w:ascii="Calibri" w:hAnsi="Calibri" w:cs="Calibri"/>
        </w:rPr>
      </w:pPr>
      <w:r w:rsidRPr="00B10E76">
        <w:rPr>
          <w:rFonts w:ascii="Calibri" w:hAnsi="Calibri" w:cs="Calibri"/>
        </w:rPr>
        <w:t>By 2010, Ashman was concerned about how complex the system had become and how long it took to get work out the door. He explained that the build, integration, and testing processes kept getting more complicated and error-prone, and that getting feedback from the integration process took 24 to 36 hours (Kim et al., 2021). In practical terms, a developer could make a change and not know for a day or more whether it broke something. As the product grew, lead times grew, and customers felt the effect.</w:t>
      </w:r>
    </w:p>
    <w:p w14:paraId="1B820E84" w14:textId="77777777" w:rsidR="00B10E76" w:rsidRPr="00B10E76" w:rsidRDefault="00B10E76" w:rsidP="00B10E76">
      <w:pPr>
        <w:jc w:val="both"/>
        <w:rPr>
          <w:rFonts w:ascii="Calibri" w:hAnsi="Calibri" w:cs="Calibri"/>
        </w:rPr>
      </w:pPr>
      <w:r w:rsidRPr="00B10E76">
        <w:rPr>
          <w:rFonts w:ascii="Calibri" w:hAnsi="Calibri" w:cs="Calibri"/>
        </w:rPr>
        <w:t xml:space="preserve">The part of the case I found most convincing is how Ashman proved the problem. He pulled graphs from the source code repository going back to 2005. One graph tracked the monolith's total lines </w:t>
      </w:r>
      <w:r w:rsidRPr="00B10E76">
        <w:rPr>
          <w:rFonts w:ascii="Calibri" w:hAnsi="Calibri" w:cs="Calibri"/>
        </w:rPr>
        <w:lastRenderedPageBreak/>
        <w:t>of code, and the other tracked the number of code commits. Lines of code kept climbing, but around 2010 the number of commits started to drop. That drop was objective evidence that it was getting harder for developers to change the code. Ashman said the data told him the team needed to act, or the problems would keep getting worse with no end in sight (Kim et al., 2021).</w:t>
      </w:r>
    </w:p>
    <w:p w14:paraId="67739BC4" w14:textId="77777777" w:rsidR="00B10E76" w:rsidRPr="00B10E76" w:rsidRDefault="00B10E76" w:rsidP="00B10E76">
      <w:pPr>
        <w:jc w:val="both"/>
        <w:rPr>
          <w:rFonts w:ascii="Calibri" w:hAnsi="Calibri" w:cs="Calibri"/>
        </w:rPr>
      </w:pPr>
      <w:r w:rsidRPr="00B10E76">
        <w:rPr>
          <w:rFonts w:ascii="Calibri" w:hAnsi="Calibri" w:cs="Calibri"/>
        </w:rPr>
        <w:t>In 2012, Ashman started a re-architecture project that used the strangler fig application pattern. Rather than rewriting Learn from scratch, the team created what they called Building Blocks. These were separate modules, decoupled from the monolith, that developers could reach through fixed APIs. A developer working in a Building Block no longer had to coordinate every change with other teams, because the API defined how the pieces talked to each other. This matches how the chapter describes the pattern: keep the existing functionality behind an API, leave it unchanged, and build new functionality in the new architecture that calls the old system only when needed (Kim et al., 2021).</w:t>
      </w:r>
    </w:p>
    <w:p w14:paraId="592BA8C9" w14:textId="77777777" w:rsidR="00B10E76" w:rsidRDefault="00B10E76" w:rsidP="00B10E76">
      <w:pPr>
        <w:jc w:val="both"/>
        <w:rPr>
          <w:rFonts w:ascii="Calibri" w:hAnsi="Calibri" w:cs="Calibri"/>
        </w:rPr>
      </w:pPr>
      <w:r w:rsidRPr="00B10E76">
        <w:rPr>
          <w:rFonts w:ascii="Calibri" w:hAnsi="Calibri" w:cs="Calibri"/>
        </w:rPr>
        <w:t>The results showed up in the same repository data. Once Building Blocks were available, the monolith began to shrink as developers moved code out of it. Ashman noted that every developer who was given a choice chose to work in the Building Block codebase, where they had more autonomy, freedom, and safety (Kim et al., 2021). At the same time, lines of code and commits in the Building Blocks repositories grew sharply. Mistakes in a Building Block caused small, local failures rather than problems across the whole product. Ashman concluded that the new architecture improved modularity and, combined with changes to the build process, gave developers faster, better feedback on their work, which led to higher quality.</w:t>
      </w:r>
    </w:p>
    <w:p w14:paraId="2E8E876B" w14:textId="77777777" w:rsidR="00B10E76" w:rsidRPr="00B10E76" w:rsidRDefault="00B10E76" w:rsidP="00B10E76">
      <w:pPr>
        <w:jc w:val="both"/>
        <w:rPr>
          <w:rFonts w:ascii="Calibri" w:hAnsi="Calibri" w:cs="Calibri"/>
        </w:rPr>
      </w:pPr>
    </w:p>
    <w:p w14:paraId="7AF70726" w14:textId="77777777" w:rsidR="00B10E76" w:rsidRPr="00B10E76" w:rsidRDefault="00B10E76" w:rsidP="00B10E76">
      <w:pPr>
        <w:jc w:val="both"/>
        <w:rPr>
          <w:rFonts w:ascii="Calibri" w:hAnsi="Calibri" w:cs="Calibri"/>
          <w:b/>
          <w:bCs/>
        </w:rPr>
      </w:pPr>
      <w:r w:rsidRPr="00B10E76">
        <w:rPr>
          <w:rFonts w:ascii="Calibri" w:hAnsi="Calibri" w:cs="Calibri"/>
          <w:b/>
          <w:bCs/>
        </w:rPr>
        <w:t>Main Points Made by the Authors</w:t>
      </w:r>
    </w:p>
    <w:p w14:paraId="71DA3EBA" w14:textId="77777777" w:rsidR="00B10E76" w:rsidRPr="00B10E76" w:rsidRDefault="00B10E76" w:rsidP="00B10E76">
      <w:pPr>
        <w:jc w:val="both"/>
        <w:rPr>
          <w:rFonts w:ascii="Calibri" w:hAnsi="Calibri" w:cs="Calibri"/>
        </w:rPr>
      </w:pPr>
      <w:r w:rsidRPr="00B10E76">
        <w:rPr>
          <w:rFonts w:ascii="Calibri" w:hAnsi="Calibri" w:cs="Calibri"/>
        </w:rPr>
        <w:t>The first point is that architecture is not permanent. The chapter calls this evolutionary architecture and quotes Jez Humble, who says the architecture of any successful product evolves over its life cycle (Kim et al., 2021). Blackboard's 1997 design was not a mistake when it was built. It simply stopped fitting a much larger product and team.</w:t>
      </w:r>
    </w:p>
    <w:p w14:paraId="5CA56493" w14:textId="6F3CBEEF" w:rsidR="00B10E76" w:rsidRPr="00B10E76" w:rsidRDefault="00B10E76" w:rsidP="00B10E76">
      <w:pPr>
        <w:jc w:val="both"/>
        <w:rPr>
          <w:rFonts w:ascii="Calibri" w:hAnsi="Calibri" w:cs="Calibri"/>
        </w:rPr>
      </w:pPr>
      <w:r w:rsidRPr="00B10E76">
        <w:rPr>
          <w:rFonts w:ascii="Calibri" w:hAnsi="Calibri" w:cs="Calibri"/>
        </w:rPr>
        <w:t xml:space="preserve">The second point is that tight coupling hurts productivity in ways that are easy to miss until they become serious. The authors describe a downward spiral </w:t>
      </w:r>
      <w:r w:rsidR="00F97967">
        <w:rPr>
          <w:rFonts w:ascii="Calibri" w:hAnsi="Calibri" w:cs="Calibri"/>
        </w:rPr>
        <w:t>in which</w:t>
      </w:r>
      <w:r w:rsidRPr="00B10E76">
        <w:rPr>
          <w:rFonts w:ascii="Calibri" w:hAnsi="Calibri" w:cs="Calibri"/>
        </w:rPr>
        <w:t xml:space="preserve"> small changes can have large and</w:t>
      </w:r>
      <w:r w:rsidR="00F97967">
        <w:rPr>
          <w:rFonts w:ascii="Calibri" w:hAnsi="Calibri" w:cs="Calibri"/>
        </w:rPr>
        <w:t>,</w:t>
      </w:r>
      <w:r w:rsidRPr="00B10E76">
        <w:rPr>
          <w:rFonts w:ascii="Calibri" w:hAnsi="Calibri" w:cs="Calibri"/>
        </w:rPr>
        <w:t xml:space="preserve"> unpredictable consequences, so teams become afraid to integrate and deploy, which </w:t>
      </w:r>
      <w:r w:rsidR="00F97967">
        <w:rPr>
          <w:rFonts w:ascii="Calibri" w:hAnsi="Calibri" w:cs="Calibri"/>
        </w:rPr>
        <w:t>leads</w:t>
      </w:r>
      <w:r w:rsidRPr="00B10E76">
        <w:rPr>
          <w:rFonts w:ascii="Calibri" w:hAnsi="Calibri" w:cs="Calibri"/>
        </w:rPr>
        <w:t xml:space="preserve"> them to deploy less often and batch more changes together (Kim et al., 2021). Blackboard's 24- to 36-hour feedback loop and falling commit count are a real example of that spiral.</w:t>
      </w:r>
    </w:p>
    <w:p w14:paraId="501030BF" w14:textId="399298F3" w:rsidR="00B10E76" w:rsidRPr="00B10E76" w:rsidRDefault="00B10E76" w:rsidP="00B10E76">
      <w:pPr>
        <w:jc w:val="both"/>
        <w:rPr>
          <w:rFonts w:ascii="Calibri" w:hAnsi="Calibri" w:cs="Calibri"/>
        </w:rPr>
      </w:pPr>
      <w:r w:rsidRPr="00B10E76">
        <w:rPr>
          <w:rFonts w:ascii="Calibri" w:hAnsi="Calibri" w:cs="Calibri"/>
        </w:rPr>
        <w:t xml:space="preserve">The third point is that the strangler fig pattern is a safer path than a "big bang" rewrite. The name comes from Martin Fowler, who compared it to strangler vines that start in the top of a fig tree and slowly grow down until they replace the host. The authors quote Fowler's warning that </w:t>
      </w:r>
      <w:r w:rsidR="005A05BE">
        <w:rPr>
          <w:rFonts w:ascii="Calibri" w:hAnsi="Calibri" w:cs="Calibri"/>
        </w:rPr>
        <w:t>rewriting critical systems is always more complex and riskier than it looks</w:t>
      </w:r>
      <w:r w:rsidRPr="00B10E76">
        <w:rPr>
          <w:rFonts w:ascii="Calibri" w:hAnsi="Calibri" w:cs="Calibri"/>
        </w:rPr>
        <w:t xml:space="preserve">, since old features and even old bugs often have to be carried over (Kim et al., 2021). Fowler (2024) makes the same argument in his own writing on the pattern. He explains that replacing a legacy system all at once usually fails, and that a gradual approach lets the business start getting value from the new pieces much sooner, which </w:t>
      </w:r>
      <w:r w:rsidR="005A05BE">
        <w:rPr>
          <w:rFonts w:ascii="Calibri" w:hAnsi="Calibri" w:cs="Calibri"/>
        </w:rPr>
        <w:t>offsets</w:t>
      </w:r>
      <w:r w:rsidRPr="00B10E76">
        <w:rPr>
          <w:rFonts w:ascii="Calibri" w:hAnsi="Calibri" w:cs="Calibri"/>
        </w:rPr>
        <w:t xml:space="preserve"> the extra temporary code needed to connect old and new. Blackboard avoided that risk by letting the new architecture grow next to the old one.</w:t>
      </w:r>
    </w:p>
    <w:p w14:paraId="182AE4F5" w14:textId="77777777" w:rsidR="00B10E76" w:rsidRDefault="00B10E76" w:rsidP="00B10E76">
      <w:pPr>
        <w:jc w:val="both"/>
        <w:rPr>
          <w:rFonts w:ascii="Calibri" w:hAnsi="Calibri" w:cs="Calibri"/>
        </w:rPr>
      </w:pPr>
      <w:r w:rsidRPr="00B10E76">
        <w:rPr>
          <w:rFonts w:ascii="Calibri" w:hAnsi="Calibri" w:cs="Calibri"/>
        </w:rPr>
        <w:t>The fourth point is that well-defined APIs are what make the pattern work. The chapter stresses that new services should be reached through versioned APIs and should not get tightly coupled again, for example by connecting directly to another service's database (Kim et al., 2021). Blackboard's fixed APIs for Building Blocks are what gave teams their independence.</w:t>
      </w:r>
    </w:p>
    <w:p w14:paraId="3D132451" w14:textId="77777777" w:rsidR="00B10E76" w:rsidRPr="00B10E76" w:rsidRDefault="00B10E76" w:rsidP="00B10E76">
      <w:pPr>
        <w:jc w:val="both"/>
        <w:rPr>
          <w:rFonts w:ascii="Calibri" w:hAnsi="Calibri" w:cs="Calibri"/>
        </w:rPr>
      </w:pPr>
    </w:p>
    <w:p w14:paraId="409E4F1D" w14:textId="77777777" w:rsidR="00B10E76" w:rsidRPr="00B10E76" w:rsidRDefault="00B10E76" w:rsidP="00B10E76">
      <w:pPr>
        <w:jc w:val="both"/>
        <w:rPr>
          <w:rFonts w:ascii="Calibri" w:hAnsi="Calibri" w:cs="Calibri"/>
          <w:b/>
          <w:bCs/>
        </w:rPr>
      </w:pPr>
      <w:r w:rsidRPr="00B10E76">
        <w:rPr>
          <w:rFonts w:ascii="Calibri" w:hAnsi="Calibri" w:cs="Calibri"/>
          <w:b/>
          <w:bCs/>
        </w:rPr>
        <w:t>Lessons Learned</w:t>
      </w:r>
    </w:p>
    <w:p w14:paraId="144DE9A6" w14:textId="77777777" w:rsidR="00B10E76" w:rsidRPr="00B10E76" w:rsidRDefault="00B10E76" w:rsidP="00B10E76">
      <w:pPr>
        <w:jc w:val="both"/>
        <w:rPr>
          <w:rFonts w:ascii="Calibri" w:hAnsi="Calibri" w:cs="Calibri"/>
        </w:rPr>
      </w:pPr>
      <w:r w:rsidRPr="00B10E76">
        <w:rPr>
          <w:rFonts w:ascii="Calibri" w:hAnsi="Calibri" w:cs="Calibri"/>
        </w:rPr>
        <w:t>The biggest lesson for me is to measure before deciding. Ashman did not just say the codebase felt slow. He showed it with commit and code size trends, and that data made the case for a large investment. In my own work with older ASP.NET Web Forms and SQL Server applications, I have seen teams argue about whether a system needs to be reworked based mostly on frustration. Pulling repository history is a simple way to turn that argument into something leadership can act on.</w:t>
      </w:r>
    </w:p>
    <w:p w14:paraId="0C093E2E" w14:textId="77777777" w:rsidR="00B10E76" w:rsidRPr="00B10E76" w:rsidRDefault="00B10E76" w:rsidP="00B10E76">
      <w:pPr>
        <w:jc w:val="both"/>
        <w:rPr>
          <w:rFonts w:ascii="Calibri" w:hAnsi="Calibri" w:cs="Calibri"/>
        </w:rPr>
      </w:pPr>
      <w:r w:rsidRPr="00B10E76">
        <w:rPr>
          <w:rFonts w:ascii="Calibri" w:hAnsi="Calibri" w:cs="Calibri"/>
        </w:rPr>
        <w:t>The second lesson is that incremental change beats starting over. Blackboard kept shipping a product that customers depended on while the new architecture grew around it. Each Building Block was a small win that delivered value early, which matches Fowler's (2024) point that a gradual approach lets the business get value from the new components early instead of waiting for a full replacement.</w:t>
      </w:r>
    </w:p>
    <w:p w14:paraId="59A31904" w14:textId="77777777" w:rsidR="00B10E76" w:rsidRPr="00B10E76" w:rsidRDefault="00B10E76" w:rsidP="00B10E76">
      <w:pPr>
        <w:jc w:val="both"/>
        <w:rPr>
          <w:rFonts w:ascii="Calibri" w:hAnsi="Calibri" w:cs="Calibri"/>
        </w:rPr>
      </w:pPr>
      <w:r w:rsidRPr="00B10E76">
        <w:rPr>
          <w:rFonts w:ascii="Calibri" w:hAnsi="Calibri" w:cs="Calibri"/>
        </w:rPr>
        <w:t>The third lesson is that developer autonomy strongly signals good design. The fact that developers chose Building Blocks whenever they had the option says a lot. People move toward the place where they can work with fewer meetings, less coordination, and less fear of breaking someone else's code. That also connects to the chapter's discussion of the DORA and Puppet State of DevOps Report findings, which identified architecture as the largest contributor to continuous delivery and showed that high-performing teams can deploy without depending on other teams (Kim et al., 2021).</w:t>
      </w:r>
    </w:p>
    <w:p w14:paraId="61039208" w14:textId="77777777" w:rsidR="00B10E76" w:rsidRDefault="00B10E76" w:rsidP="00B10E76">
      <w:pPr>
        <w:jc w:val="both"/>
        <w:rPr>
          <w:rFonts w:ascii="Calibri" w:hAnsi="Calibri" w:cs="Calibri"/>
        </w:rPr>
      </w:pPr>
      <w:r w:rsidRPr="00B10E76">
        <w:rPr>
          <w:rFonts w:ascii="Calibri" w:hAnsi="Calibri" w:cs="Calibri"/>
        </w:rPr>
        <w:t>The last lesson is about safety. In the old monolith, one mistake could affect the whole product and take a long time to find. In the modular design, a mistake stayed inside one Building Block. Lower risk per change is exactly what makes frequent, low-risk releases possible, which is the theme of this module.</w:t>
      </w:r>
    </w:p>
    <w:p w14:paraId="439537A0" w14:textId="77777777" w:rsidR="00B10E76" w:rsidRPr="00B10E76" w:rsidRDefault="00B10E76" w:rsidP="00B10E76">
      <w:pPr>
        <w:jc w:val="both"/>
        <w:rPr>
          <w:rFonts w:ascii="Calibri" w:hAnsi="Calibri" w:cs="Calibri"/>
        </w:rPr>
      </w:pPr>
    </w:p>
    <w:p w14:paraId="6106261B" w14:textId="5E40326F" w:rsidR="00B10E76" w:rsidRPr="00B10E76" w:rsidRDefault="00B10E76" w:rsidP="00B10E76">
      <w:pPr>
        <w:jc w:val="both"/>
        <w:rPr>
          <w:rFonts w:ascii="Calibri" w:hAnsi="Calibri" w:cs="Calibri"/>
          <w:b/>
          <w:bCs/>
        </w:rPr>
      </w:pPr>
      <w:r w:rsidRPr="00B10E76">
        <w:rPr>
          <w:rFonts w:ascii="Calibri" w:hAnsi="Calibri" w:cs="Calibri"/>
          <w:b/>
          <w:bCs/>
        </w:rPr>
        <w:t>Conclusion</w:t>
      </w:r>
    </w:p>
    <w:p w14:paraId="43F0B48C" w14:textId="77777777" w:rsidR="00B10E76" w:rsidRDefault="00B10E76" w:rsidP="00B10E76">
      <w:pPr>
        <w:jc w:val="both"/>
        <w:rPr>
          <w:rFonts w:ascii="Calibri" w:hAnsi="Calibri" w:cs="Calibri"/>
        </w:rPr>
      </w:pPr>
      <w:r w:rsidRPr="00B10E76">
        <w:rPr>
          <w:rFonts w:ascii="Calibri" w:hAnsi="Calibri" w:cs="Calibri"/>
        </w:rPr>
        <w:t>The Blackboard Learn case study shows that an aging, tightly coupled codebase does not have to be thrown away to be fixed. By using data to prove the problem and then applying the strangler fig pattern through Building Blocks and fixed APIs, Blackboard reversed the decline in developer productivity, shortened feedback, and made failures smaller and safer. The chapter's broader message is that architecture should evolve with the organization's needs, and the safest way to do that is one piece at a time.</w:t>
      </w:r>
    </w:p>
    <w:p w14:paraId="70504B9B" w14:textId="77777777" w:rsidR="00B10E76" w:rsidRPr="00B10E76" w:rsidRDefault="00B10E76" w:rsidP="00B10E76">
      <w:pPr>
        <w:rPr>
          <w:rFonts w:ascii="Calibri" w:hAnsi="Calibri" w:cs="Calibri"/>
        </w:rPr>
      </w:pPr>
    </w:p>
    <w:p w14:paraId="044B376E" w14:textId="77777777" w:rsidR="00B10E76" w:rsidRPr="00B10E76" w:rsidRDefault="00B10E76" w:rsidP="00B10E76">
      <w:pPr>
        <w:rPr>
          <w:rFonts w:ascii="Calibri" w:hAnsi="Calibri" w:cs="Calibri"/>
          <w:b/>
          <w:bCs/>
        </w:rPr>
      </w:pPr>
      <w:r w:rsidRPr="00B10E76">
        <w:rPr>
          <w:rFonts w:ascii="Calibri" w:hAnsi="Calibri" w:cs="Calibri"/>
          <w:b/>
          <w:bCs/>
        </w:rPr>
        <w:t>References</w:t>
      </w:r>
    </w:p>
    <w:p w14:paraId="549A1EE6" w14:textId="77777777" w:rsidR="00B10E76" w:rsidRPr="00B10E76" w:rsidRDefault="00B10E76" w:rsidP="00B10E76">
      <w:pPr>
        <w:rPr>
          <w:rFonts w:ascii="Calibri" w:hAnsi="Calibri" w:cs="Calibri"/>
        </w:rPr>
      </w:pPr>
      <w:r w:rsidRPr="00B10E76">
        <w:rPr>
          <w:rFonts w:ascii="Calibri" w:hAnsi="Calibri" w:cs="Calibri"/>
        </w:rPr>
        <w:t xml:space="preserve">Fowler, M. (2024, August 22). </w:t>
      </w:r>
      <w:r w:rsidRPr="00B10E76">
        <w:rPr>
          <w:rFonts w:ascii="Calibri" w:hAnsi="Calibri" w:cs="Calibri"/>
          <w:i/>
          <w:iCs/>
        </w:rPr>
        <w:t>Strangler fig.</w:t>
      </w:r>
      <w:r w:rsidRPr="00B10E76">
        <w:rPr>
          <w:rFonts w:ascii="Calibri" w:hAnsi="Calibri" w:cs="Calibri"/>
        </w:rPr>
        <w:t xml:space="preserve"> https://martinfowler.com/bliki/StranglerFigApplication.html</w:t>
      </w:r>
    </w:p>
    <w:p w14:paraId="1B87C18A" w14:textId="77777777" w:rsidR="00B10E76" w:rsidRDefault="00B10E76" w:rsidP="00B10E76">
      <w:pPr>
        <w:rPr>
          <w:rFonts w:ascii="Calibri" w:hAnsi="Calibri" w:cs="Calibri"/>
        </w:rPr>
      </w:pPr>
      <w:r w:rsidRPr="00B10E76">
        <w:rPr>
          <w:rFonts w:ascii="Calibri" w:hAnsi="Calibri" w:cs="Calibri"/>
        </w:rPr>
        <w:t xml:space="preserve">Kim, G., Humble, J., Debois, P., Willis, J., &amp; Forsgren, N. (2021). </w:t>
      </w:r>
      <w:r w:rsidRPr="00B10E76">
        <w:rPr>
          <w:rFonts w:ascii="Calibri" w:hAnsi="Calibri" w:cs="Calibri"/>
          <w:i/>
          <w:iCs/>
        </w:rPr>
        <w:t>The DevOps handbook: How to create world-class agility, reliability, &amp; security in technology organizations</w:t>
      </w:r>
      <w:r w:rsidRPr="00B10E76">
        <w:rPr>
          <w:rFonts w:ascii="Calibri" w:hAnsi="Calibri" w:cs="Calibri"/>
        </w:rPr>
        <w:t xml:space="preserve"> (2nd ed.). </w:t>
      </w:r>
    </w:p>
    <w:p w14:paraId="76ADCA3C" w14:textId="22651949" w:rsidR="00B10E76" w:rsidRPr="00B10E76" w:rsidRDefault="00B10E76" w:rsidP="00B10E76">
      <w:pPr>
        <w:rPr>
          <w:rFonts w:ascii="Calibri" w:hAnsi="Calibri" w:cs="Calibri"/>
        </w:rPr>
      </w:pPr>
      <w:r w:rsidRPr="00B10E76">
        <w:rPr>
          <w:rFonts w:ascii="Calibri" w:hAnsi="Calibri" w:cs="Calibri"/>
        </w:rPr>
        <w:t>IT Revolution Press.</w:t>
      </w:r>
    </w:p>
    <w:sectPr w:rsidR="00B10E76" w:rsidRPr="00B10E7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0E76"/>
    <w:rsid w:val="005A05BE"/>
    <w:rsid w:val="00A07ECE"/>
    <w:rsid w:val="00B10E76"/>
    <w:rsid w:val="00F979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3123C4"/>
  <w15:chartTrackingRefBased/>
  <w15:docId w15:val="{F81A5F58-333E-4F7A-AB90-8D2D11DDF0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10E7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10E7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10E7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10E7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10E7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10E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10E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10E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10E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0E7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10E7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10E7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10E7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10E7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10E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10E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10E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10E76"/>
    <w:rPr>
      <w:rFonts w:eastAsiaTheme="majorEastAsia" w:cstheme="majorBidi"/>
      <w:color w:val="272727" w:themeColor="text1" w:themeTint="D8"/>
    </w:rPr>
  </w:style>
  <w:style w:type="paragraph" w:styleId="Title">
    <w:name w:val="Title"/>
    <w:basedOn w:val="Normal"/>
    <w:next w:val="Normal"/>
    <w:link w:val="TitleChar"/>
    <w:uiPriority w:val="10"/>
    <w:qFormat/>
    <w:rsid w:val="00B10E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10E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10E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10E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10E76"/>
    <w:pPr>
      <w:spacing w:before="160"/>
      <w:jc w:val="center"/>
    </w:pPr>
    <w:rPr>
      <w:i/>
      <w:iCs/>
      <w:color w:val="404040" w:themeColor="text1" w:themeTint="BF"/>
    </w:rPr>
  </w:style>
  <w:style w:type="character" w:customStyle="1" w:styleId="QuoteChar">
    <w:name w:val="Quote Char"/>
    <w:basedOn w:val="DefaultParagraphFont"/>
    <w:link w:val="Quote"/>
    <w:uiPriority w:val="29"/>
    <w:rsid w:val="00B10E76"/>
    <w:rPr>
      <w:i/>
      <w:iCs/>
      <w:color w:val="404040" w:themeColor="text1" w:themeTint="BF"/>
    </w:rPr>
  </w:style>
  <w:style w:type="paragraph" w:styleId="ListParagraph">
    <w:name w:val="List Paragraph"/>
    <w:basedOn w:val="Normal"/>
    <w:uiPriority w:val="34"/>
    <w:qFormat/>
    <w:rsid w:val="00B10E76"/>
    <w:pPr>
      <w:ind w:left="720"/>
      <w:contextualSpacing/>
    </w:pPr>
  </w:style>
  <w:style w:type="character" w:styleId="IntenseEmphasis">
    <w:name w:val="Intense Emphasis"/>
    <w:basedOn w:val="DefaultParagraphFont"/>
    <w:uiPriority w:val="21"/>
    <w:qFormat/>
    <w:rsid w:val="00B10E76"/>
    <w:rPr>
      <w:i/>
      <w:iCs/>
      <w:color w:val="0F4761" w:themeColor="accent1" w:themeShade="BF"/>
    </w:rPr>
  </w:style>
  <w:style w:type="paragraph" w:styleId="IntenseQuote">
    <w:name w:val="Intense Quote"/>
    <w:basedOn w:val="Normal"/>
    <w:next w:val="Normal"/>
    <w:link w:val="IntenseQuoteChar"/>
    <w:uiPriority w:val="30"/>
    <w:qFormat/>
    <w:rsid w:val="00B10E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10E76"/>
    <w:rPr>
      <w:i/>
      <w:iCs/>
      <w:color w:val="0F4761" w:themeColor="accent1" w:themeShade="BF"/>
    </w:rPr>
  </w:style>
  <w:style w:type="character" w:styleId="IntenseReference">
    <w:name w:val="Intense Reference"/>
    <w:basedOn w:val="DefaultParagraphFont"/>
    <w:uiPriority w:val="32"/>
    <w:qFormat/>
    <w:rsid w:val="00B10E7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TotalTime>
  <Pages>4</Pages>
  <Words>1284</Words>
  <Characters>7320</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rakesh shrestha</dc:creator>
  <cp:keywords/>
  <dc:description/>
  <cp:lastModifiedBy>rakesh shrestha</cp:lastModifiedBy>
  <cp:revision>3</cp:revision>
  <dcterms:created xsi:type="dcterms:W3CDTF">2026-10-18T19:34:00Z</dcterms:created>
  <dcterms:modified xsi:type="dcterms:W3CDTF">2026-10-18T20:00:00Z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fb6cc538-07e2-4662-b06f-ab025d9a6ced</vt:lpwstr>
  </property>
</Properties>
</file>