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80"/>
        <w:jc w:val="center"/>
      </w:pPr>
      <w:bookmarkStart w:id="0" w:name="_GoBack"/>
      <w:r>
        <w:rPr>
          <w:rFonts w:ascii="SimHei" w:eastAsia="SimHei" w:cs="SimHei"/>
          <w:b/>
          <w:bCs/>
          <w:sz w:val="36"/>
          <w:szCs w:val="36"/>
        </w:rPr>
        <w:t>研报财务数据比对判定规则</w:t>
      </w:r>
      <w:bookmarkEnd w:id="0"/>
    </w:p>
    <w:p>
      <w:pPr>
        <w:spacing w:after="240"/>
        <w:jc w:val="both"/>
      </w:pPr>
    </w:p>
    <w:p>
      <w:pPr>
        <w:pStyle w:val="27"/>
        <w:spacing w:before="240" w:after="160"/>
      </w:pPr>
      <w:r>
        <w:rPr>
          <w:rFonts w:ascii="SimHei" w:eastAsia="SimHei" w:cs="SimHei"/>
          <w:b/>
          <w:bCs/>
          <w:color w:val="000000"/>
          <w:sz w:val="28"/>
          <w:szCs w:val="28"/>
        </w:rPr>
        <w:t>一、编制目的与依据</w:t>
      </w:r>
    </w:p>
    <w:p>
      <w:pPr>
        <w:spacing w:after="120" w:line="319" w:lineRule="auto"/>
        <w:ind w:firstLine="480"/>
        <w:jc w:val="both"/>
      </w:pPr>
      <w:r>
        <w:rPr>
          <w:rFonts w:ascii="SimSun" w:eastAsia="SimSun" w:cs="SimSun" w:hAnsi="SimSun"/>
          <w:b w:val="0"/>
          <w:bCs w:val="0"/>
          <w:sz w:val="24"/>
          <w:szCs w:val="24"/>
        </w:rPr>
        <w:t>依据竞赛任务“研究报告纠错核查”要求：依据原始财务材料，对给定研究报告草稿中的收入、利润、估值倍数、单位、统计口径和引用等内容进行核查，识别错误并提出修改意见，重点考察错误识别的准确性和覆盖率、误报控制、来源定位以及修改建议的可执行性。</w:t>
      </w:r>
    </w:p>
    <w:p>
      <w:pPr>
        <w:pStyle w:val="27"/>
        <w:spacing w:before="240" w:after="160"/>
      </w:pPr>
      <w:r>
        <w:rPr>
          <w:rFonts w:ascii="SimHei" w:eastAsia="SimHei" w:cs="SimHei"/>
          <w:b/>
          <w:bCs/>
          <w:color w:val="000000"/>
          <w:sz w:val="28"/>
          <w:szCs w:val="28"/>
        </w:rPr>
        <w:t>二、比对基准库</w:t>
      </w:r>
    </w:p>
    <w:p>
      <w:pPr>
        <w:spacing w:after="120" w:line="319" w:lineRule="auto"/>
        <w:ind w:firstLine="480"/>
        <w:jc w:val="both"/>
      </w:pPr>
      <w:r>
        <w:rPr>
          <w:rFonts w:ascii="SimSun" w:eastAsia="SimSun" w:cs="SimSun" w:hAnsi="SimSun"/>
          <w:b w:val="0"/>
          <w:bCs w:val="0"/>
          <w:sz w:val="24"/>
          <w:szCs w:val="24"/>
        </w:rPr>
        <w:t>比对以 03_指标结果.csv 为唯一标准答案（以下简称“基准库”）。基准库字段包括：公司、报告期、指标、数值；数据口径为合并报表、年报时点、人民币。</w:t>
      </w:r>
    </w:p>
    <w:p>
      <w:pPr>
        <w:spacing w:after="120" w:line="319" w:lineRule="auto"/>
        <w:ind w:firstLine="480"/>
        <w:jc w:val="both"/>
      </w:pPr>
      <w:r>
        <w:rPr>
          <w:rFonts w:ascii="SimSun" w:eastAsia="SimSun" w:cs="SimSun" w:hAnsi="SimSun"/>
          <w:b w:val="0"/>
          <w:bCs w:val="0"/>
          <w:sz w:val="24"/>
          <w:szCs w:val="24"/>
        </w:rPr>
        <w:t>纳入比对的财务指标限于下表清单（共8项）：</w:t>
      </w:r>
    </w:p>
    <w:tbl>
      <w:tblPr>
        <w:jc w:val="left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400"/>
        <w:gridCol w:w="5726"/>
      </w:tblGrid>
      <w:tr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center"/>
            </w:pPr>
            <w:r>
              <w:rPr>
                <w:rFonts w:ascii="SimHei" w:eastAsia="SimHei" w:cs="SimHei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center"/>
            </w:pPr>
            <w:r>
              <w:rPr>
                <w:rFonts w:ascii="SimHei" w:eastAsia="SimHei" w:cs="SimHei"/>
                <w:b/>
                <w:bCs/>
                <w:sz w:val="21"/>
                <w:szCs w:val="21"/>
              </w:rPr>
              <w:t>指标名称</w:t>
            </w:r>
          </w:p>
        </w:tc>
        <w:tc>
          <w:tcPr>
            <w:tcW w:w="57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center"/>
            </w:pPr>
            <w:r>
              <w:rPr>
                <w:rFonts w:ascii="SimHei" w:eastAsia="SimHei" w:cs="SimHei"/>
                <w:b/>
                <w:bCs/>
                <w:sz w:val="21"/>
                <w:szCs w:val="21"/>
              </w:rPr>
              <w:t>计算口径与数据来源</w:t>
            </w:r>
          </w:p>
        </w:tc>
      </w:tr>
      <w:tr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流动比率</w:t>
            </w:r>
          </w:p>
        </w:tc>
        <w:tc>
          <w:tcPr>
            <w:tcW w:w="57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流动资产合计 ÷ 流动负债合计（合并资产负债表）</w:t>
            </w:r>
          </w:p>
        </w:tc>
      </w:tr>
      <w:tr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现金流量比率</w:t>
            </w:r>
          </w:p>
        </w:tc>
        <w:tc>
          <w:tcPr>
            <w:tcW w:w="57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经营活动产生的现金流量净额 ÷ 流动负债合计（合并现金流量表、合并资产负债表）</w:t>
            </w:r>
          </w:p>
        </w:tc>
      </w:tr>
      <w:tr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资产负债率</w:t>
            </w:r>
          </w:p>
        </w:tc>
        <w:tc>
          <w:tcPr>
            <w:tcW w:w="57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负债合计 ÷ 资产总计（合并资产负债表）</w:t>
            </w:r>
          </w:p>
        </w:tc>
      </w:tr>
      <w:tr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产权比率</w:t>
            </w:r>
          </w:p>
        </w:tc>
        <w:tc>
          <w:tcPr>
            <w:tcW w:w="57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负债合计 ÷ 所有者权益合计（含少数股东权益）</w:t>
            </w:r>
          </w:p>
        </w:tc>
      </w:tr>
      <w:tr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毛利率</w:t>
            </w:r>
          </w:p>
        </w:tc>
        <w:tc>
          <w:tcPr>
            <w:tcW w:w="57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（营业收入 − 营业成本）÷ 营业收入</w:t>
            </w:r>
          </w:p>
        </w:tc>
      </w:tr>
      <w:tr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毛利率同比pp</w:t>
            </w:r>
          </w:p>
        </w:tc>
        <w:tc>
          <w:tcPr>
            <w:tcW w:w="57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本期毛利率 − 上期毛利率（单位：百分点，带符号）</w:t>
            </w:r>
          </w:p>
        </w:tc>
      </w:tr>
      <w:tr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营业现金比率</w:t>
            </w:r>
          </w:p>
        </w:tc>
        <w:tc>
          <w:tcPr>
            <w:tcW w:w="57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经营活动产生的现金流量净额 ÷ 营业收入</w:t>
            </w:r>
          </w:p>
        </w:tc>
      </w:tr>
      <w:tr>
        <w:tc>
          <w:tcPr>
            <w:tcW w:w="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资本积累率</w:t>
            </w:r>
          </w:p>
        </w:tc>
        <w:tc>
          <w:tcPr>
            <w:tcW w:w="57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（期末所有者权益合计 − 期初所有者权益合计）÷ 期初所有者权益合计（权益合计口径，含少数股东权益）</w:t>
            </w:r>
          </w:p>
        </w:tc>
      </w:tr>
    </w:tbl>
    <w:p>
      <w:pPr>
        <w:spacing w:after="120" w:line="319" w:lineRule="auto"/>
        <w:ind w:left="0"/>
        <w:jc w:val="both"/>
      </w:pPr>
    </w:p>
    <w:p>
      <w:pPr>
        <w:pStyle w:val="27"/>
        <w:spacing w:before="240" w:after="160"/>
      </w:pPr>
      <w:r>
        <w:rPr>
          <w:rFonts w:ascii="SimHei" w:eastAsia="SimHei" w:cs="SimHei"/>
          <w:b/>
          <w:bCs/>
          <w:color w:val="000000"/>
          <w:sz w:val="28"/>
          <w:szCs w:val="28"/>
        </w:rPr>
        <w:t>三、比对范围判定</w:t>
      </w:r>
    </w:p>
    <w:p>
      <w:pPr>
        <w:spacing w:after="120" w:line="319" w:lineRule="auto"/>
        <w:ind w:firstLine="480"/>
        <w:jc w:val="both"/>
      </w:pPr>
    </w:p>
    <w:tbl>
      <w:tblPr>
        <w:jc w:val="left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4700"/>
        <w:gridCol w:w="2726"/>
      </w:tblGrid>
      <w:tr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center"/>
            </w:pPr>
            <w:r>
              <w:rPr>
                <w:rFonts w:ascii="SimHei" w:eastAsia="SimHei" w:cs="SimHei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center"/>
            </w:pPr>
            <w:r>
              <w:rPr>
                <w:rFonts w:ascii="SimHei" w:eastAsia="SimHei" w:cs="SimHei"/>
                <w:b/>
                <w:bCs/>
                <w:sz w:val="21"/>
                <w:szCs w:val="21"/>
              </w:rPr>
              <w:t>判定条件</w:t>
            </w:r>
          </w:p>
        </w:tc>
        <w:tc>
          <w:tcPr>
            <w:tcW w:w="27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center"/>
            </w:pPr>
            <w:r>
              <w:rPr>
                <w:rFonts w:ascii="SimHei" w:eastAsia="SimHei" w:cs="SimHei"/>
                <w:b/>
                <w:bCs/>
                <w:sz w:val="21"/>
                <w:szCs w:val="21"/>
              </w:rPr>
              <w:t>处理方式</w:t>
            </w:r>
          </w:p>
        </w:tc>
      </w:tr>
      <w:tr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参与比对</w:t>
            </w:r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同时满足：① 研报引用的是企业历史年报财务数据；② 指标在第二条清单（8项）内；③ 基准库中存在对应公司与报告期的数据</w:t>
            </w:r>
          </w:p>
        </w:tc>
        <w:tc>
          <w:tcPr>
            <w:tcW w:w="27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进入比对流程（第四、五条）</w:t>
            </w:r>
          </w:p>
        </w:tc>
      </w:tr>
      <w:tr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直接跳过</w:t>
            </w:r>
          </w:p>
        </w:tc>
        <w:tc>
          <w:tcPr>
            <w:tcW w:w="4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① 分析师未来业绩预测（盈利预测、目标价、预测EPS等前瞻性数据）；② 统计口径差异（TTM、单季度、调整后口径，归母口径与权益合计口径等）；③ 估算值（研报自行测算、倒推的数据）；④ 不在财务指标清单内的指标</w:t>
            </w:r>
          </w:p>
        </w:tc>
        <w:tc>
          <w:tcPr>
            <w:tcW w:w="27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不比对、不进入错误清单；口径差异可在备注中标注说明</w:t>
            </w:r>
          </w:p>
        </w:tc>
      </w:tr>
    </w:tbl>
    <w:p>
      <w:pPr>
        <w:spacing w:after="60"/>
      </w:pPr>
    </w:p>
    <w:p>
      <w:pPr>
        <w:spacing w:after="120" w:line="319" w:lineRule="auto"/>
        <w:ind w:firstLine="480"/>
        <w:jc w:val="both"/>
      </w:pPr>
      <w:r>
        <w:rPr>
          <w:rFonts w:ascii="SimSun" w:eastAsia="SimSun" w:cs="SimSun" w:hAnsi="SimSun"/>
          <w:b w:val="0"/>
          <w:bCs w:val="0"/>
          <w:sz w:val="24"/>
          <w:szCs w:val="24"/>
        </w:rPr>
        <w:t>口径差异示例：研报引用“归母净资产增长率15.21%”，基准库“资本积累率”为权益合计口径15.2533%，两者口径不同，判定为口径差异，不判为疑似错误。</w:t>
      </w:r>
    </w:p>
    <w:p>
      <w:pPr>
        <w:pStyle w:val="27"/>
        <w:spacing w:before="240" w:after="160"/>
      </w:pPr>
      <w:r>
        <w:rPr>
          <w:rFonts w:ascii="SimHei" w:eastAsia="SimHei" w:cs="SimHei"/>
          <w:b/>
          <w:bCs/>
          <w:color w:val="000000"/>
          <w:sz w:val="28"/>
          <w:szCs w:val="28"/>
        </w:rPr>
        <w:t>四、疑似错误判定标准</w:t>
      </w:r>
    </w:p>
    <w:p>
      <w:pPr>
        <w:pStyle w:val="28"/>
        <w:spacing w:before="160" w:after="120"/>
      </w:pPr>
      <w:r>
        <w:rPr>
          <w:rFonts w:ascii="SimHei" w:eastAsia="SimHei" w:cs="SimHei"/>
          <w:b/>
          <w:bCs/>
          <w:color w:val="000000"/>
          <w:sz w:val="24"/>
          <w:szCs w:val="24"/>
        </w:rPr>
        <w:t>4.1 数值不一致</w:t>
      </w:r>
    </w:p>
    <w:p>
      <w:pPr>
        <w:spacing w:after="120" w:line="319" w:lineRule="auto"/>
        <w:ind w:firstLine="480"/>
        <w:jc w:val="both"/>
      </w:pPr>
      <w:r>
        <w:rPr>
          <w:rFonts w:ascii="SimSun" w:eastAsia="SimSun" w:cs="SimSun" w:hAnsi="SimSun"/>
          <w:b w:val="0"/>
          <w:bCs w:val="0"/>
          <w:sz w:val="24"/>
          <w:szCs w:val="24"/>
        </w:rPr>
        <w:t>研报财务数字经4.3条归一化处理后与基准库数值不一致的，标记为“疑似错误”。</w:t>
      </w:r>
    </w:p>
    <w:p>
      <w:pPr>
        <w:pStyle w:val="28"/>
        <w:spacing w:before="160" w:after="120"/>
      </w:pPr>
      <w:r>
        <w:rPr>
          <w:rFonts w:ascii="SimHei" w:eastAsia="SimHei" w:cs="SimHei"/>
          <w:b/>
          <w:bCs/>
          <w:color w:val="000000"/>
          <w:sz w:val="24"/>
          <w:szCs w:val="24"/>
        </w:rPr>
        <w:t>4.2 年份不一致</w:t>
      </w:r>
    </w:p>
    <w:p>
      <w:pPr>
        <w:spacing w:after="120" w:line="319" w:lineRule="auto"/>
        <w:ind w:firstLine="480"/>
        <w:jc w:val="both"/>
      </w:pPr>
      <w:r>
        <w:rPr>
          <w:rFonts w:ascii="SimSun" w:eastAsia="SimSun" w:cs="SimSun" w:hAnsi="SimSun"/>
          <w:b w:val="0"/>
          <w:bCs w:val="0"/>
          <w:sz w:val="24"/>
          <w:szCs w:val="24"/>
        </w:rPr>
        <w:t>研报所标注年份与数据实际所属报告期不一致的（如将2024年年报数据标注为2025年），标记为“疑似错误”。</w:t>
      </w:r>
    </w:p>
    <w:p>
      <w:pPr>
        <w:pStyle w:val="28"/>
        <w:spacing w:before="160" w:after="120"/>
      </w:pPr>
      <w:r>
        <w:rPr>
          <w:rFonts w:ascii="SimHei" w:eastAsia="SimHei" w:cs="SimHei"/>
          <w:b/>
          <w:bCs/>
          <w:color w:val="000000"/>
          <w:sz w:val="24"/>
          <w:szCs w:val="24"/>
        </w:rPr>
        <w:t>4.3 归一化与一致性判定细则</w:t>
      </w:r>
    </w:p>
    <w:p>
      <w:pPr>
        <w:pStyle w:val="21"/>
        <w:numPr>
          <w:ilvl w:val="0"/>
          <w:numId w:val="1"/>
        </w:numPr>
        <w:spacing w:after="80" w:line="319" w:lineRule="auto"/>
      </w:pPr>
      <w:r>
        <w:rPr>
          <w:rFonts w:ascii="SimSun" w:eastAsia="SimSun" w:cs="SimSun" w:hAnsi="SimSun"/>
          <w:sz w:val="24"/>
          <w:szCs w:val="24"/>
        </w:rPr>
        <w:t>单位换算：亿元、万元、元统一换算为与基准库相同量纲；百分数与小数形式（如40.22%与0.4022）视为等价；</w:t>
      </w:r>
    </w:p>
    <w:p>
      <w:pPr>
        <w:pStyle w:val="21"/>
        <w:numPr>
          <w:ilvl w:val="0"/>
          <w:numId w:val="1"/>
        </w:numPr>
        <w:spacing w:after="80" w:line="319" w:lineRule="auto"/>
      </w:pPr>
      <w:r>
        <w:rPr>
          <w:rFonts w:ascii="SimSun" w:eastAsia="SimSun" w:cs="SimSun" w:hAnsi="SimSun"/>
          <w:sz w:val="24"/>
          <w:szCs w:val="24"/>
        </w:rPr>
        <w:t>舍入容差：经单位换算后相对误差 ≤ 0.5% 的，视为研报披露精度导致的舍入，判定一致、不判错（容差参数可由组长按研报精度调整）；超出容差的，标记为疑似错误；</w:t>
      </w:r>
    </w:p>
    <w:p>
      <w:pPr>
        <w:pStyle w:val="21"/>
        <w:numPr>
          <w:ilvl w:val="0"/>
          <w:numId w:val="1"/>
        </w:numPr>
        <w:spacing w:after="80" w:line="319" w:lineRule="auto"/>
      </w:pPr>
      <w:r>
        <w:rPr>
          <w:rFonts w:ascii="SimSun" w:eastAsia="SimSun" w:cs="SimSun" w:hAnsi="SimSun"/>
          <w:sz w:val="24"/>
          <w:szCs w:val="24"/>
        </w:rPr>
        <w:t>同比指标：研报若直接给出同比变动值，与基准库“毛利率同比pp”直接比对；若分别给出本期与上期毛利率，先计算差值再比对；</w:t>
      </w:r>
    </w:p>
    <w:p>
      <w:pPr>
        <w:pStyle w:val="21"/>
        <w:numPr>
          <w:ilvl w:val="0"/>
          <w:numId w:val="1"/>
        </w:numPr>
        <w:spacing w:after="120" w:line="319" w:lineRule="auto"/>
      </w:pPr>
      <w:r>
        <w:rPr>
          <w:rFonts w:ascii="SimSun" w:eastAsia="SimSun" w:cs="SimSun" w:hAnsi="SimSun"/>
          <w:sz w:val="24"/>
          <w:szCs w:val="24"/>
        </w:rPr>
        <w:t>同义指标名：如“销售毛利率”与“毛利率”视为同一指标，统一按基准库指标名归集。</w:t>
      </w:r>
    </w:p>
    <w:p>
      <w:pPr>
        <w:pStyle w:val="28"/>
        <w:spacing w:before="160" w:after="120"/>
      </w:pPr>
      <w:r>
        <w:rPr>
          <w:rFonts w:ascii="SimHei" w:eastAsia="SimHei" w:cs="SimHei"/>
          <w:b/>
          <w:bCs/>
          <w:color w:val="000000"/>
          <w:sz w:val="24"/>
          <w:szCs w:val="24"/>
        </w:rPr>
        <w:t>4.4 判定输出要求</w:t>
      </w:r>
    </w:p>
    <w:p>
      <w:pPr>
        <w:spacing w:after="120" w:line="319" w:lineRule="auto"/>
        <w:ind w:firstLine="480"/>
        <w:jc w:val="both"/>
      </w:pPr>
      <w:r>
        <w:rPr>
          <w:rFonts w:ascii="SimSun" w:eastAsia="SimSun" w:cs="SimSun" w:hAnsi="SimSun"/>
          <w:b w:val="0"/>
          <w:bCs w:val="0"/>
          <w:sz w:val="24"/>
          <w:szCs w:val="24"/>
        </w:rPr>
        <w:t>每条疑似错误须完整记录：研报位置（页码/段落）、原文表述、涉及指标、研报数值、基准库数值、差异类型及说明，并给出可直接执行的修改建议，满足任务对来源定位与修改建议可执行性的考察要求。</w:t>
      </w:r>
    </w:p>
    <w:p>
      <w:pPr>
        <w:pStyle w:val="27"/>
        <w:spacing w:before="240" w:after="160"/>
      </w:pPr>
      <w:r>
        <w:rPr>
          <w:rFonts w:ascii="SimHei" w:eastAsia="SimHei" w:cs="SimHei"/>
          <w:b/>
          <w:bCs/>
          <w:color w:val="000000"/>
          <w:sz w:val="28"/>
          <w:szCs w:val="28"/>
        </w:rPr>
        <w:t>五、输出格式</w:t>
      </w:r>
    </w:p>
    <w:p>
      <w:pPr>
        <w:spacing w:after="120" w:line="319" w:lineRule="auto"/>
        <w:ind w:firstLine="480"/>
        <w:jc w:val="both"/>
      </w:pPr>
      <w:r>
        <w:rPr>
          <w:rFonts w:ascii="SimSun" w:eastAsia="SimSun" w:cs="SimSun" w:hAnsi="SimSun"/>
          <w:b w:val="0"/>
          <w:bCs w:val="0"/>
          <w:sz w:val="24"/>
          <w:szCs w:val="24"/>
        </w:rPr>
        <w:t>比对结果输出为《疑似错误清单》，模板如下：</w:t>
      </w:r>
    </w:p>
    <w:tbl>
      <w:tblPr>
        <w:jc w:val="left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1050"/>
        <w:gridCol w:w="2000"/>
        <w:gridCol w:w="1150"/>
        <w:gridCol w:w="1250"/>
        <w:gridCol w:w="1000"/>
        <w:gridCol w:w="700"/>
        <w:gridCol w:w="1326"/>
      </w:tblGrid>
      <w:tr>
        <w:tc>
          <w:tcPr>
            <w:tcW w:w="5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center"/>
            </w:pPr>
            <w:r>
              <w:rPr>
                <w:rFonts w:ascii="SimHei" w:eastAsia="SimHei" w:cs="SimHei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0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center"/>
            </w:pPr>
            <w:r>
              <w:rPr>
                <w:rFonts w:ascii="SimHei" w:eastAsia="SimHei" w:cs="SimHei"/>
                <w:b/>
                <w:bCs/>
                <w:sz w:val="21"/>
                <w:szCs w:val="21"/>
              </w:rPr>
              <w:t>研报位置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center"/>
            </w:pPr>
            <w:r>
              <w:rPr>
                <w:rFonts w:ascii="SimHei" w:eastAsia="SimHei" w:cs="SimHei"/>
                <w:b/>
                <w:bCs/>
                <w:sz w:val="21"/>
                <w:szCs w:val="21"/>
              </w:rPr>
              <w:t>原文表述</w:t>
            </w:r>
          </w:p>
        </w:tc>
        <w:tc>
          <w:tcPr>
            <w:tcW w:w="11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center"/>
            </w:pPr>
            <w:r>
              <w:rPr>
                <w:rFonts w:ascii="SimHei" w:eastAsia="SimHei" w:cs="SimHei"/>
                <w:b/>
                <w:bCs/>
                <w:sz w:val="21"/>
                <w:szCs w:val="21"/>
              </w:rPr>
              <w:t>涉及指标</w:t>
            </w:r>
          </w:p>
        </w:tc>
        <w:tc>
          <w:tcPr>
            <w:tcW w:w="12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center"/>
            </w:pPr>
            <w:r>
              <w:rPr>
                <w:rFonts w:ascii="SimHei" w:eastAsia="SimHei" w:cs="SimHei"/>
                <w:b/>
                <w:bCs/>
                <w:sz w:val="21"/>
                <w:szCs w:val="21"/>
              </w:rPr>
              <w:t>研报值/基准值</w:t>
            </w:r>
          </w:p>
        </w:tc>
        <w:tc>
          <w:tcPr>
            <w:tcW w:w="1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center"/>
            </w:pPr>
            <w:r>
              <w:rPr>
                <w:rFonts w:ascii="SimHei" w:eastAsia="SimHei" w:cs="SimHei"/>
                <w:b/>
                <w:bCs/>
                <w:sz w:val="21"/>
                <w:szCs w:val="21"/>
              </w:rPr>
              <w:t>差异类型</w:t>
            </w:r>
          </w:p>
        </w:tc>
        <w:tc>
          <w:tcPr>
            <w:tcW w:w="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center"/>
            </w:pPr>
            <w:r>
              <w:rPr>
                <w:rFonts w:ascii="SimHei" w:eastAsia="SimHei" w:cs="SimHei"/>
                <w:b/>
                <w:bCs/>
                <w:sz w:val="21"/>
                <w:szCs w:val="21"/>
              </w:rPr>
              <w:t>判定</w:t>
            </w:r>
          </w:p>
        </w:tc>
        <w:tc>
          <w:tcPr>
            <w:tcW w:w="13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center"/>
            </w:pPr>
            <w:r>
              <w:rPr>
                <w:rFonts w:ascii="SimHei" w:eastAsia="SimHei" w:cs="SimHei"/>
                <w:b/>
                <w:bCs/>
                <w:sz w:val="21"/>
                <w:szCs w:val="21"/>
              </w:rPr>
              <w:t>修改建议</w:t>
            </w:r>
          </w:p>
        </w:tc>
      </w:tr>
      <w:tr>
        <w:tc>
          <w:tcPr>
            <w:tcW w:w="5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0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（页码/段落）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（研报原文摘录）</w:t>
            </w:r>
          </w:p>
        </w:tc>
        <w:tc>
          <w:tcPr>
            <w:tcW w:w="11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（清单内指标名）</w:t>
            </w:r>
          </w:p>
        </w:tc>
        <w:tc>
          <w:tcPr>
            <w:tcW w:w="12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（分别填写）</w:t>
            </w:r>
          </w:p>
        </w:tc>
        <w:tc>
          <w:tcPr>
            <w:tcW w:w="1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数值不一致/年份不一致</w:t>
            </w:r>
          </w:p>
        </w:tc>
        <w:tc>
          <w:tcPr>
            <w:tcW w:w="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疑似错误/口径差异/误报剔除</w:t>
            </w:r>
          </w:p>
        </w:tc>
        <w:tc>
          <w:tcPr>
            <w:tcW w:w="13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81" w:lineRule="auto"/>
              <w:jc w:val="left"/>
            </w:pPr>
            <w:r>
              <w:rPr>
                <w:rFonts w:ascii="SimSun" w:eastAsia="SimSun" w:cs="SimSun" w:hAnsi="SimSun"/>
                <w:b w:val="0"/>
                <w:bCs w:val="0"/>
                <w:sz w:val="21"/>
                <w:szCs w:val="21"/>
              </w:rPr>
              <w:t>（可直接执行的修改表述）</w:t>
            </w:r>
          </w:p>
        </w:tc>
      </w:tr>
    </w:tbl>
    <w:p>
      <w:pPr>
        <w:spacing w:after="60"/>
      </w:pPr>
    </w:p>
    <w:p>
      <w:pPr>
        <w:spacing w:after="120" w:line="319" w:lineRule="auto"/>
        <w:ind w:firstLine="480"/>
        <w:jc w:val="both"/>
      </w:pPr>
      <w:r>
        <w:rPr>
          <w:rFonts w:ascii="SimSun" w:eastAsia="SimSun" w:cs="SimSun" w:hAnsi="SimSun"/>
          <w:b w:val="0"/>
          <w:bCs w:val="0"/>
          <w:sz w:val="24"/>
          <w:szCs w:val="24"/>
        </w:rPr>
        <w:t>差异类型仅取“数值不一致、年份不一致”两类；判定栏中“口径差异”与“误报剔除”条目不计入错误数量统计，仅作留痕。</w:t>
      </w:r>
    </w:p>
    <w:p>
      <w:pPr>
        <w:spacing w:after="120" w:line="319" w:lineRule="auto"/>
        <w:ind w:firstLine="480"/>
        <w:jc w:val="both"/>
      </w:pPr>
    </w:p>
    <w:sectPr>
      <w:pgSz w:w="11906" w:h="16838"/>
      <w:pgMar w:top="1440" w:right="1440" w:bottom="1440" w:left="1440" w:header="708" w:footer="708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imHe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imSu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  <w:lvlOverride w:ilvl="0">
      <w:lvl w:ilvl="0">
        <w:start w:val="1"/>
        <w:numFmt w:val="decimal"/>
        <w:lvlRestart w:val="0"/>
        <w:lvlText w:val="%1."/>
        <w:lvlJc w:val="left"/>
        <w:pPr>
          <w:tabs>
            <w:tab w:val="num" w:pos="0"/>
          </w:tabs>
          <w:ind w:left="720" w:hanging="360"/>
        </w:pPr>
      </w:lvl>
      <w:startOverride w:val="1"/>
    </w:lvlOverride>
    <w:lvlOverride w:ilvl="1">
      <w:lvl w:ilvl="1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2">
      <w:lvl w:ilvl="2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3">
      <w:lvl w:ilvl="3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4">
      <w:lvl w:ilvl="4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5">
      <w:lvl w:ilvl="5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6">
      <w:lvl w:ilvl="6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7">
      <w:lvl w:ilvl="7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8">
      <w:lvl w:ilvl="8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displayBackgroundShape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SimSun" w:eastAsia="SimSun" w:cs="SimSun" w:hAnsi="SimSun"/>
      <w:sz w:val="24"/>
      <w:szCs w:val="24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rPr>
      <w:sz w:val="56"/>
      <w:szCs w:val="56"/>
    </w:rPr>
  </w:style>
  <w:style w:type="paragraph" w:customStyle="1" w:styleId="16">
    <w:name w:val="Heading 3"/>
    <w:basedOn w:val="0"/>
    <w:next w:val="0"/>
    <w:rPr>
      <w:color w:val="1F4D78"/>
      <w:sz w:val="24"/>
      <w:szCs w:val="24"/>
    </w:rPr>
  </w:style>
  <w:style w:type="paragraph" w:customStyle="1" w:styleId="17">
    <w:name w:val="Heading 4"/>
    <w:basedOn w:val="0"/>
    <w:next w:val="0"/>
    <w:rPr>
      <w:i/>
      <w:iCs/>
      <w:color w:val="2E74B5"/>
    </w:rPr>
  </w:style>
  <w:style w:type="paragraph" w:customStyle="1" w:styleId="18">
    <w:name w:val="Heading 5"/>
    <w:basedOn w:val="0"/>
    <w:next w:val="0"/>
    <w:rPr>
      <w:color w:val="2E74B5"/>
    </w:rPr>
  </w:style>
  <w:style w:type="paragraph" w:customStyle="1" w:styleId="19">
    <w:name w:val="Heading 6"/>
    <w:basedOn w:val="0"/>
    <w:next w:val="0"/>
    <w:rPr>
      <w:color w:val="1F4D78"/>
    </w:rPr>
  </w:style>
  <w:style w:type="paragraph" w:styleId="20">
    <w:name w:val="Strong"/>
    <w:basedOn w:val="0"/>
    <w:next w:val="0"/>
    <w:rPr>
      <w:b/>
      <w:bCs/>
    </w:rPr>
  </w:style>
  <w:style w:type="paragraph" w:customStyle="1" w:styleId="21">
    <w:name w:val="List Paragraph"/>
    <w:basedOn w:val="0"/>
  </w:style>
  <w:style w:type="character" w:styleId="22">
    <w:name w:val="Hyperlink"/>
    <w:rPr>
      <w:color w:val="0563C1"/>
      <w:u w:val="single"/>
    </w:rPr>
  </w:style>
  <w:style w:type="character" w:styleId="23">
    <w:name w:val="footnote reference"/>
    <w:rPr>
      <w:vertAlign w:val="superscript"/>
    </w:rPr>
  </w:style>
  <w:style w:type="paragraph" w:styleId="24">
    <w:name w:val="footnote text"/>
    <w:basedOn w:val="0"/>
    <w:pPr>
      <w:spacing w:after="0" w:line="240" w:lineRule="auto"/>
    </w:pPr>
    <w:rPr>
      <w:sz w:val="20"/>
      <w:szCs w:val="20"/>
    </w:rPr>
  </w:style>
  <w:style w:type="character" w:styleId="25">
    <w:name w:val="endnote reference"/>
    <w:rPr>
      <w:vertAlign w:val="superscript"/>
    </w:rPr>
  </w:style>
  <w:style w:type="paragraph" w:styleId="26">
    <w:name w:val="endnote text"/>
    <w:basedOn w:val="0"/>
    <w:pPr>
      <w:spacing w:after="0" w:line="240" w:lineRule="auto"/>
    </w:pPr>
    <w:rPr>
      <w:sz w:val="20"/>
      <w:szCs w:val="20"/>
    </w:rPr>
  </w:style>
  <w:style w:type="paragraph" w:customStyle="1" w:styleId="27">
    <w:name w:val="Heading 1"/>
    <w:basedOn w:val="0"/>
    <w:next w:val="0"/>
    <w:pPr>
      <w:spacing w:before="240" w:after="160"/>
      <w:outlineLvl w:val="0"/>
    </w:pPr>
    <w:rPr>
      <w:rFonts w:ascii="SimHei" w:eastAsia="SimHei" w:cs="SimHei"/>
      <w:b/>
      <w:bCs/>
      <w:sz w:val="28"/>
      <w:szCs w:val="28"/>
    </w:rPr>
  </w:style>
  <w:style w:type="paragraph" w:customStyle="1" w:styleId="28">
    <w:name w:val="Heading 2"/>
    <w:basedOn w:val="0"/>
    <w:next w:val="0"/>
    <w:pPr>
      <w:spacing w:before="160" w:after="120"/>
      <w:outlineLvl w:val="1"/>
    </w:pPr>
    <w:rPr>
      <w:rFonts w:ascii="SimHei" w:eastAsia="SimHei" w:cs="SimHei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Office</Application>
  <Pages>1</Pages>
  <Words>12</Words>
  <Characters>12</Characters>
  <Lines>1</Lines>
  <Paragraphs>0</Paragraphs>
  <CharactersWithSpaces>12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手机用户</cp:lastModifiedBy>
  <cp:revision>0</cp:revision>
  <dcterms:modified xsi:type="dcterms:W3CDTF">2026-09-29T12:12:03Z</dcterms:modified>
</cp:coreProperties>
</file>