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任务二 一阶电路的响应</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rFonts w:hint="eastAsia"/>
          <w:sz w:val="24"/>
          <w:szCs w:val="24"/>
        </w:rPr>
      </w:pPr>
      <w:r>
        <w:rPr>
          <w:rFonts w:hint="eastAsia"/>
          <w:sz w:val="24"/>
          <w:szCs w:val="24"/>
        </w:rPr>
        <w:t>一.  实验目的</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sz w:val="24"/>
          <w:szCs w:val="24"/>
        </w:rPr>
      </w:pPr>
      <w:r>
        <w:rPr>
          <w:rFonts w:hint="eastAsia"/>
          <w:sz w:val="24"/>
          <w:szCs w:val="24"/>
        </w:rPr>
        <w:t>1、测定R</w:t>
      </w:r>
      <w:r>
        <w:rPr>
          <w:sz w:val="24"/>
          <w:szCs w:val="24"/>
        </w:rPr>
        <w:t>C</w:t>
      </w:r>
      <w:r>
        <w:rPr>
          <w:rFonts w:hint="eastAsia"/>
          <w:sz w:val="24"/>
          <w:szCs w:val="24"/>
        </w:rPr>
        <w:t>一阶电路的零输入响应，零状态响应</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rFonts w:hint="eastAsia"/>
          <w:sz w:val="24"/>
          <w:szCs w:val="24"/>
        </w:rPr>
      </w:pPr>
      <w:r>
        <w:rPr>
          <w:rFonts w:hint="eastAsia"/>
          <w:sz w:val="24"/>
          <w:szCs w:val="24"/>
        </w:rPr>
        <w:t>2、学习电路时间常数的测定方法</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rFonts w:hint="eastAsia"/>
          <w:sz w:val="24"/>
          <w:szCs w:val="24"/>
        </w:rPr>
      </w:pPr>
      <w:r>
        <w:rPr>
          <w:rFonts w:hint="eastAsia"/>
          <w:sz w:val="24"/>
          <w:szCs w:val="24"/>
        </w:rPr>
        <w:t>3、掌握有关微分电路和积分电路的概念</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rFonts w:hint="eastAsia"/>
          <w:sz w:val="24"/>
          <w:szCs w:val="24"/>
        </w:rPr>
      </w:pPr>
      <w:r>
        <w:rPr>
          <w:rFonts w:hint="eastAsia"/>
          <w:sz w:val="24"/>
          <w:szCs w:val="24"/>
        </w:rPr>
        <w:t>4、学会用示波器测绘图形</w:t>
      </w:r>
    </w:p>
    <w:p>
      <w:pPr>
        <w:keepNext w:val="0"/>
        <w:keepLines w:val="0"/>
        <w:pageBreakBefore w:val="0"/>
        <w:widowControl w:val="0"/>
        <w:kinsoku/>
        <w:wordWrap/>
        <w:overflowPunct/>
        <w:topLinePunct w:val="0"/>
        <w:autoSpaceDE/>
        <w:autoSpaceDN/>
        <w:bidi w:val="0"/>
        <w:adjustRightInd/>
        <w:snapToGrid/>
        <w:spacing w:before="240" w:beforeLines="100" w:after="240" w:afterLines="100" w:line="240" w:lineRule="exact"/>
        <w:textAlignment w:val="auto"/>
        <w:rPr>
          <w:rFonts w:hint="eastAsia"/>
          <w:sz w:val="24"/>
          <w:szCs w:val="24"/>
        </w:rPr>
      </w:pPr>
      <w:r>
        <w:rPr>
          <w:rFonts w:hint="eastAsia"/>
          <w:sz w:val="24"/>
          <w:szCs w:val="24"/>
        </w:rPr>
        <w:t>二.  实验原理</w:t>
      </w:r>
    </w:p>
    <w:p>
      <w:pPr>
        <w:spacing w:before="240" w:beforeLines="100" w:after="240" w:afterLines="100"/>
        <w:rPr>
          <w:sz w:val="24"/>
          <w:szCs w:val="24"/>
        </w:rPr>
      </w:pPr>
      <w:r>
        <w:rPr>
          <w:rFonts w:hint="eastAsia"/>
          <w:sz w:val="24"/>
          <w:szCs w:val="24"/>
        </w:rPr>
        <w:t>对于零输入响应，根据一阶微分方程求解可知：</w:t>
      </w:r>
      <w:r>
        <w:rPr>
          <w:rFonts w:hint="eastAsia"/>
          <w:sz w:val="24"/>
          <w:szCs w:val="24"/>
        </w:rPr>
        <w:object>
          <v:shape id="_x0000_i1025" o:spt="75" type="#_x0000_t75" style="height:19pt;width:11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rPr>
        <w:t>，当t=τ时，</w:t>
      </w:r>
      <w:r>
        <w:rPr>
          <w:rFonts w:hint="eastAsia"/>
          <w:sz w:val="24"/>
          <w:szCs w:val="24"/>
        </w:rPr>
        <w:object>
          <v:shape id="_x0000_i1026" o:spt="75" type="#_x0000_t75" style="height:18pt;width:1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rPr>
        <w:t>(τ)=0.368</w:t>
      </w:r>
      <w:r>
        <w:rPr>
          <w:rFonts w:hint="eastAsia"/>
          <w:sz w:val="24"/>
          <w:szCs w:val="24"/>
        </w:rPr>
        <w:object>
          <v:shape id="_x0000_i1027" o:spt="75" type="#_x0000_t75" style="height:17pt;width:1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sz w:val="24"/>
          <w:szCs w:val="24"/>
        </w:rPr>
        <w:t>，此时所对应的时间就等于τ。动态网络的过渡过程是十分短暂的单次变化过程。要用普通示波器观察过渡过程和测量有关的参数，就必须使这种单次变化的过程重复出现。利用信号发生器输出的方波来模拟激励信号，即利用方波输出的上沿作为零状态响应的起始时刻。只要选择方波的重复周期远大于电路的时间常数</w:t>
      </w:r>
      <w:r>
        <w:rPr>
          <w:rFonts w:hint="eastAsia" w:ascii="宋体" w:hAnsi="宋体"/>
          <w:sz w:val="24"/>
          <w:szCs w:val="24"/>
        </w:rPr>
        <w:t>τ</w:t>
      </w:r>
      <w:r>
        <w:rPr>
          <w:rFonts w:hint="eastAsia"/>
          <w:sz w:val="24"/>
          <w:szCs w:val="24"/>
        </w:rPr>
        <w:t>，那么电路在这样的方波序列脉冲信号的激励下，它的响应就和直流电路中开关的接通与断开的过渡过程是基本相同的。</w:t>
      </w:r>
    </w:p>
    <w:p>
      <w:pPr>
        <w:rPr>
          <w:sz w:val="24"/>
          <w:szCs w:val="24"/>
        </w:rPr>
      </w:pPr>
      <w:r>
        <w:rPr>
          <w:rFonts w:hint="eastAsia"/>
          <w:sz w:val="24"/>
          <w:szCs w:val="24"/>
        </w:rPr>
        <w:t>一个R</w:t>
      </w:r>
      <w:r>
        <w:rPr>
          <w:sz w:val="24"/>
          <w:szCs w:val="24"/>
        </w:rPr>
        <w:t>C</w:t>
      </w:r>
      <w:r>
        <w:rPr>
          <w:rFonts w:hint="eastAsia"/>
          <w:sz w:val="24"/>
          <w:szCs w:val="24"/>
        </w:rPr>
        <w:t>串联电路，在方波序列脉冲的重复激励下，若满足</w:t>
      </w:r>
      <w:bookmarkStart w:id="0" w:name="_Hlk48862889"/>
      <w:r>
        <w:rPr>
          <w:rFonts w:hint="eastAsia" w:ascii="宋体" w:hAnsi="宋体"/>
          <w:sz w:val="24"/>
          <w:szCs w:val="24"/>
        </w:rPr>
        <w:t>τ</w:t>
      </w:r>
      <w:r>
        <w:rPr>
          <w:rFonts w:hint="eastAsia"/>
          <w:sz w:val="24"/>
          <w:szCs w:val="24"/>
        </w:rPr>
        <w:t>=</w:t>
      </w:r>
      <w:r>
        <w:rPr>
          <w:sz w:val="24"/>
          <w:szCs w:val="24"/>
        </w:rPr>
        <w:t>RC</w:t>
      </w:r>
      <w:r>
        <w:rPr>
          <w:rFonts w:hint="eastAsia"/>
          <w:sz w:val="24"/>
          <w:szCs w:val="24"/>
        </w:rPr>
        <w:t>&lt;</w:t>
      </w:r>
      <w:r>
        <w:rPr>
          <w:sz w:val="24"/>
          <w:szCs w:val="24"/>
        </w:rPr>
        <w:t>&lt;T/2</w:t>
      </w:r>
      <w:bookmarkEnd w:id="0"/>
      <w:r>
        <w:rPr>
          <w:rFonts w:hint="eastAsia"/>
          <w:sz w:val="24"/>
          <w:szCs w:val="24"/>
        </w:rPr>
        <w:t>时(T为方波脉冲的重复周期)，且由R两端的电压作为响应输出，则该电路为微分电路</w:t>
      </w:r>
    </w:p>
    <w:p>
      <w:pPr>
        <w:rPr>
          <w:rFonts w:hint="eastAsia"/>
          <w:sz w:val="24"/>
          <w:szCs w:val="24"/>
        </w:rPr>
      </w:pPr>
      <w:r>
        <w:rPr>
          <w:rFonts w:hint="eastAsia"/>
          <w:sz w:val="24"/>
          <w:szCs w:val="24"/>
        </w:rPr>
        <w:t>此时电路的输出电压与输入电压的微分成正比，可以将方波转变成尖脉冲。若将R</w:t>
      </w:r>
      <w:r>
        <w:rPr>
          <w:sz w:val="24"/>
          <w:szCs w:val="24"/>
        </w:rPr>
        <w:t>C</w:t>
      </w:r>
      <w:r>
        <w:rPr>
          <w:rFonts w:hint="eastAsia"/>
          <w:sz w:val="24"/>
          <w:szCs w:val="24"/>
        </w:rPr>
        <w:t>调换，由电容两端电压作为输出，且当电路参数满足τ</w:t>
      </w:r>
      <w:r>
        <w:rPr>
          <w:sz w:val="24"/>
          <w:szCs w:val="24"/>
        </w:rPr>
        <w:t>=RC</w:t>
      </w:r>
      <w:r>
        <w:rPr>
          <w:rFonts w:hint="eastAsia"/>
          <w:sz w:val="24"/>
          <w:szCs w:val="24"/>
        </w:rPr>
        <w:t>&gt;</w:t>
      </w:r>
      <w:r>
        <w:rPr>
          <w:sz w:val="24"/>
          <w:szCs w:val="24"/>
        </w:rPr>
        <w:t>&gt;T/2</w:t>
      </w:r>
      <w:r>
        <w:rPr>
          <w:rFonts w:hint="eastAsia"/>
          <w:sz w:val="24"/>
          <w:szCs w:val="24"/>
        </w:rPr>
        <w:t>，则称为积分电路，输出电压与输入电压的积分成正比，可以将方波转变成三角波</w:t>
      </w:r>
    </w:p>
    <w:p>
      <w:pPr>
        <w:numPr>
          <w:ilvl w:val="0"/>
          <w:numId w:val="1"/>
        </w:numPr>
        <w:rPr>
          <w:rFonts w:hint="eastAsia"/>
          <w:sz w:val="24"/>
          <w:szCs w:val="24"/>
          <w:lang w:val="en-US" w:eastAsia="zh-CN"/>
        </w:rPr>
      </w:pPr>
      <w:r>
        <w:rPr>
          <w:rFonts w:hint="eastAsia"/>
          <w:sz w:val="24"/>
          <w:szCs w:val="24"/>
          <w:lang w:val="en-US" w:eastAsia="zh-CN"/>
        </w:rPr>
        <w:t>实验内容</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1、调节示波器输出电压为5Vpp、=50Hz的方波。</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令R=K2 ,C=luF,组成微分电路。在方波激励信号作用下，用光标测定时间常数τ。</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3、R、C的参数值不变，组成积分电路,观察并描绘响应的波形,测定时间常数t。</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微分电路：</w:t>
      </w:r>
      <w:r>
        <w:rPr>
          <w:rFonts w:hint="eastAsia" w:ascii="宋体" w:hAnsi="宋体" w:eastAsia="宋体" w:cs="宋体"/>
          <w:sz w:val="24"/>
          <w:szCs w:val="24"/>
          <w:lang w:val="en-US" w:eastAsia="zh-CN"/>
        </w:rPr>
        <w:drawing>
          <wp:inline distT="0" distB="0" distL="114300" distR="114300">
            <wp:extent cx="1985645" cy="1490345"/>
            <wp:effectExtent l="0" t="0" r="5080" b="5080"/>
            <wp:docPr id="3" name="图片 3" descr="IMG_20200907_10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00907_103552"/>
                    <pic:cNvPicPr>
                      <a:picLocks noChangeAspect="1"/>
                    </pic:cNvPicPr>
                  </pic:nvPicPr>
                  <pic:blipFill>
                    <a:blip r:embed="rId10"/>
                    <a:stretch>
                      <a:fillRect/>
                    </a:stretch>
                  </pic:blipFill>
                  <pic:spPr>
                    <a:xfrm>
                      <a:off x="0" y="0"/>
                      <a:ext cx="1985645" cy="1490345"/>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Y2=0.368y1，X1=20us，x2=1.02ms，Δx=1ms，故时间常数</w:t>
      </w:r>
      <w:r>
        <w:rPr>
          <w:rFonts w:hint="eastAsia" w:ascii="宋体" w:hAnsi="宋体" w:eastAsia="宋体" w:cs="宋体"/>
          <w:sz w:val="24"/>
          <w:szCs w:val="24"/>
          <w:lang w:val="en-US" w:eastAsia="zh-CN"/>
        </w:rPr>
        <w:t>τ</w:t>
      </w:r>
      <w:r>
        <w:rPr>
          <w:rFonts w:hint="eastAsia" w:ascii="宋体" w:hAnsi="宋体" w:cs="宋体"/>
          <w:sz w:val="24"/>
          <w:szCs w:val="24"/>
          <w:lang w:val="en-US" w:eastAsia="zh-CN"/>
        </w:rPr>
        <w:t>=1ms</w:t>
      </w:r>
    </w:p>
    <w:p>
      <w:r>
        <w:rPr>
          <w:rFonts w:hint="eastAsia"/>
          <w:lang w:val="en-US" w:eastAsia="zh-CN"/>
        </w:rPr>
        <w:t>积分电路：</w:t>
      </w:r>
      <w:r>
        <w:drawing>
          <wp:inline distT="0" distB="0" distL="114300" distR="114300">
            <wp:extent cx="1984375" cy="1488440"/>
            <wp:effectExtent l="0" t="0" r="6350" b="6985"/>
            <wp:docPr id="4" name="图片 4" descr="IMG_20200907_10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00907_105525"/>
                    <pic:cNvPicPr>
                      <a:picLocks noChangeAspect="1"/>
                    </pic:cNvPicPr>
                  </pic:nvPicPr>
                  <pic:blipFill>
                    <a:blip r:embed="rId11"/>
                    <a:stretch>
                      <a:fillRect/>
                    </a:stretch>
                  </pic:blipFill>
                  <pic:spPr>
                    <a:xfrm>
                      <a:off x="0" y="0"/>
                      <a:ext cx="1984375" cy="1488440"/>
                    </a:xfrm>
                    <a:prstGeom prst="rect">
                      <a:avLst/>
                    </a:prstGeom>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Y2=0.632y1，X1=-2.42ms，x2=-3.54ms，|Δx|=1.12ms，故时间常数τ=1.12ms</w:t>
      </w:r>
    </w:p>
    <w:p>
      <w:pPr>
        <w:numPr>
          <w:ilvl w:val="0"/>
          <w:numId w:val="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误差分析</w:t>
      </w:r>
    </w:p>
    <w:p>
      <w:pPr>
        <w:numPr>
          <w:numId w:val="0"/>
        </w:numPr>
        <w:ind w:leftChars="0"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误差可能来源：示波器读数的误差，选点的不准确性造成误差；电阻阻值、电容容值的不准确；示波器探头位置导致的读数不稳定</w:t>
      </w:r>
    </w:p>
    <w:p>
      <w:pPr>
        <w:numPr>
          <w:ilvl w:val="0"/>
          <w:numId w:val="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示波器功能</w:t>
      </w:r>
    </w:p>
    <w:p>
      <w:pPr>
        <w:numPr>
          <w:ilvl w:val="0"/>
          <w:numId w:val="3"/>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信号放大缩小、移动：便于更清晰地观察波形、利用光标找点，减小</w:t>
      </w:r>
      <w:r>
        <w:rPr>
          <w:rFonts w:hint="eastAsia" w:ascii="宋体" w:hAnsi="宋体" w:cs="宋体"/>
          <w:sz w:val="24"/>
          <w:szCs w:val="24"/>
          <w:lang w:val="en-US" w:eastAsia="zh-CN"/>
        </w:rPr>
        <w:t>由于图像精确度造成的</w:t>
      </w:r>
      <w:r>
        <w:rPr>
          <w:rFonts w:hint="eastAsia" w:ascii="宋体" w:hAnsi="宋体" w:eastAsia="宋体" w:cs="宋体"/>
          <w:sz w:val="24"/>
          <w:szCs w:val="24"/>
          <w:lang w:val="en-US" w:eastAsia="zh-CN"/>
        </w:rPr>
        <w:t>误差；</w:t>
      </w:r>
    </w:p>
    <w:p>
      <w:pPr>
        <w:numPr>
          <w:ilvl w:val="0"/>
          <w:numId w:val="3"/>
        </w:numPr>
        <w:ind w:leftChars="0"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信号发生：利用示波器自身发生信号，便于调节；</w:t>
      </w:r>
    </w:p>
    <w:p>
      <w:pPr>
        <w:numPr>
          <w:ilvl w:val="0"/>
          <w:numId w:val="3"/>
        </w:numPr>
        <w:ind w:leftChars="0"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“光标”：利用光标显示波形上各点坐标</w:t>
      </w:r>
      <w:r>
        <w:rPr>
          <w:rFonts w:hint="eastAsia" w:ascii="宋体" w:hAnsi="宋体" w:cs="宋体"/>
          <w:sz w:val="24"/>
          <w:szCs w:val="24"/>
          <w:lang w:val="en-US" w:eastAsia="zh-CN"/>
        </w:rPr>
        <w:t>读取</w:t>
      </w:r>
      <w:r>
        <w:rPr>
          <w:rFonts w:hint="eastAsia" w:ascii="宋体" w:hAnsi="宋体" w:eastAsia="宋体" w:cs="宋体"/>
          <w:sz w:val="24"/>
          <w:szCs w:val="24"/>
          <w:lang w:val="en-US" w:eastAsia="zh-CN"/>
        </w:rPr>
        <w:t>数据</w:t>
      </w:r>
      <w:r>
        <w:rPr>
          <w:rFonts w:hint="eastAsia" w:ascii="宋体" w:hAnsi="宋体" w:cs="宋体"/>
          <w:sz w:val="24"/>
          <w:szCs w:val="24"/>
          <w:lang w:val="en-US" w:eastAsia="zh-CN"/>
        </w:rPr>
        <w:t>，便于后续计算</w:t>
      </w:r>
      <w:r>
        <w:rPr>
          <w:rFonts w:hint="eastAsia" w:ascii="宋体" w:hAnsi="宋体" w:eastAsia="宋体" w:cs="宋体"/>
          <w:sz w:val="24"/>
          <w:szCs w:val="24"/>
          <w:lang w:val="en-US" w:eastAsia="zh-CN"/>
        </w:rPr>
        <w:t>；</w:t>
      </w:r>
    </w:p>
    <w:p>
      <w:pPr>
        <w:numPr>
          <w:ilvl w:val="0"/>
          <w:numId w:val="3"/>
        </w:numPr>
        <w:ind w:leftChars="0"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触发：保证示波器中图像稳定。</w:t>
      </w:r>
      <w:bookmarkStart w:id="1" w:name="_GoBack"/>
      <w:bookmarkEnd w:id="1"/>
    </w:p>
    <w:p>
      <w:pPr>
        <w:numPr>
          <w:numId w:val="0"/>
        </w:numPr>
        <w:ind w:leftChars="0"/>
        <w:rPr>
          <w:rFonts w:hint="default"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B4BDD"/>
    <w:multiLevelType w:val="singleLevel"/>
    <w:tmpl w:val="8F5B4BDD"/>
    <w:lvl w:ilvl="0" w:tentative="0">
      <w:start w:val="3"/>
      <w:numFmt w:val="chineseCounting"/>
      <w:suff w:val="nothing"/>
      <w:lvlText w:val="%1、"/>
      <w:lvlJc w:val="left"/>
      <w:rPr>
        <w:rFonts w:hint="eastAsia"/>
      </w:rPr>
    </w:lvl>
  </w:abstractNum>
  <w:abstractNum w:abstractNumId="1">
    <w:nsid w:val="F6E73F6E"/>
    <w:multiLevelType w:val="singleLevel"/>
    <w:tmpl w:val="F6E73F6E"/>
    <w:lvl w:ilvl="0" w:tentative="0">
      <w:start w:val="2"/>
      <w:numFmt w:val="decimal"/>
      <w:suff w:val="nothing"/>
      <w:lvlText w:val="%1、"/>
      <w:lvlJc w:val="left"/>
    </w:lvl>
  </w:abstractNum>
  <w:abstractNum w:abstractNumId="2">
    <w:nsid w:val="3EC9076F"/>
    <w:multiLevelType w:val="singleLevel"/>
    <w:tmpl w:val="3EC9076F"/>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065323"/>
    <w:rsid w:val="34CF1DBC"/>
    <w:rsid w:val="5F605F1E"/>
    <w:rsid w:val="6ECD61FA"/>
    <w:rsid w:val="7449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2020-09-13T15:21:02Z</dcterms:created>
  <dc:creator>Verlassen</dc:creator>
  <cp:lastModifiedBy>玄风之巅</cp:lastModifiedBy>
  <dcterms:modified xsi:type="dcterms:W3CDTF">2020-09-13T15:35:51Z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