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CF45F" w14:textId="77777777" w:rsidR="0072122B" w:rsidRDefault="00E05607">
      <w:pPr>
        <w:rPr>
          <w:rFonts w:hint="eastAsia"/>
        </w:rPr>
      </w:pPr>
      <w:r>
        <w:rPr>
          <w:color w:val="666666"/>
          <w:sz w:val="18"/>
        </w:rPr>
        <w:t>Paquete técnico - Caso B</w:t>
      </w:r>
    </w:p>
    <w:p w14:paraId="3CB79975" w14:textId="77777777" w:rsidR="0072122B" w:rsidRDefault="00E05607">
      <w:pPr>
        <w:pStyle w:val="Ttulo"/>
      </w:pPr>
      <w:r>
        <w:t>Documento técnico - Error Trigger / Dead Letter Handler</w:t>
      </w:r>
    </w:p>
    <w:p w14:paraId="6A86F924" w14:textId="77777777" w:rsidR="0072122B" w:rsidRDefault="00E05607">
      <w:pPr>
        <w:rPr>
          <w:rFonts w:hint="eastAsia"/>
        </w:rPr>
      </w:pPr>
      <w:r>
        <w:rPr>
          <w:b/>
        </w:rPr>
        <w:t xml:space="preserve">Workflow: </w:t>
      </w:r>
      <w:r>
        <w:t xml:space="preserve">CASO B - Dead Letter Handler  |  </w:t>
      </w:r>
      <w:r>
        <w:rPr>
          <w:b/>
        </w:rPr>
        <w:t xml:space="preserve">Archivo fuente: </w:t>
      </w:r>
      <w:r>
        <w:t>CASO B - ERROR TRIGGER.json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304"/>
        <w:gridCol w:w="2736"/>
      </w:tblGrid>
      <w:tr w:rsidR="0072122B" w14:paraId="5959D73A" w14:textId="77777777">
        <w:trPr>
          <w:jc w:val="center"/>
        </w:trPr>
        <w:tc>
          <w:tcPr>
            <w:tcW w:w="1872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0B989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AA658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Activo</w:t>
            </w:r>
          </w:p>
        </w:tc>
        <w:tc>
          <w:tcPr>
            <w:tcW w:w="2304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C5530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Nodos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CD665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</w:tr>
      <w:tr w:rsidR="0072122B" w14:paraId="1BD79E15" w14:textId="77777777">
        <w:trPr>
          <w:jc w:val="center"/>
        </w:trPr>
        <w:tc>
          <w:tcPr>
            <w:tcW w:w="1872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2B38B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Tabla destino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ED5C8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public.case_b_dead_letter</w:t>
            </w:r>
          </w:p>
        </w:tc>
        <w:tc>
          <w:tcPr>
            <w:tcW w:w="2304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C1DEB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 xml:space="preserve">Orden de </w:t>
            </w:r>
            <w:r>
              <w:rPr>
                <w:b/>
                <w:sz w:val="19"/>
              </w:rPr>
              <w:t>ejecución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4860D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v1</w:t>
            </w:r>
          </w:p>
        </w:tc>
      </w:tr>
      <w:tr w:rsidR="0072122B" w14:paraId="53B2E557" w14:textId="77777777">
        <w:trPr>
          <w:jc w:val="center"/>
        </w:trPr>
        <w:tc>
          <w:tcPr>
            <w:tcW w:w="1872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83AC2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Tipo disparador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307FB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n8n-nodes-base.errorTrigger</w:t>
            </w:r>
          </w:p>
        </w:tc>
        <w:tc>
          <w:tcPr>
            <w:tcW w:w="2304" w:type="dxa"/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60A6B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Credencial BD</w:t>
            </w:r>
          </w:p>
        </w:tc>
        <w:tc>
          <w:tcPr>
            <w:tcW w:w="273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A635D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Postgres account</w:t>
            </w:r>
          </w:p>
        </w:tc>
      </w:tr>
    </w:tbl>
    <w:p w14:paraId="11150C81" w14:textId="77777777" w:rsidR="0072122B" w:rsidRDefault="00E05607">
      <w:pPr>
        <w:spacing w:before="200" w:after="120"/>
        <w:rPr>
          <w:rFonts w:hint="eastAsia"/>
        </w:rPr>
      </w:pPr>
      <w:r>
        <w:rPr>
          <w:b/>
          <w:color w:val="1F4E79"/>
          <w:sz w:val="24"/>
        </w:rPr>
        <w:t>Resumen ejecutivo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2122B" w14:paraId="215FEBF9" w14:textId="77777777">
        <w:trPr>
          <w:jc w:val="center"/>
        </w:trPr>
        <w:tc>
          <w:tcPr>
            <w:tcW w:w="9936" w:type="dxa"/>
            <w:shd w:val="clear" w:color="auto" w:fill="F3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8D78CB" w14:textId="77777777" w:rsidR="0072122B" w:rsidRDefault="00E05607">
            <w:pPr>
              <w:rPr>
                <w:rFonts w:hint="eastAsia"/>
              </w:rPr>
            </w:pPr>
            <w:r>
              <w:rPr>
                <w:sz w:val="20"/>
              </w:rPr>
              <w:t xml:space="preserve">El workflow de Error Trigger del Caso B implementa un manejador de dead letter de bajo acoplamiento. Su función es capturar errores no </w:t>
            </w:r>
            <w:r>
              <w:rPr>
                <w:sz w:val="20"/>
              </w:rPr>
              <w:t>recuperados de otros workflows de n8n, normalizar metadatos mínimos del fallo y persistirlos en la tabla public.case_b_dead_letter para auditoría, diagnóstico operativo y análisis posterior. El flujo está compuesto por tres nodos: un disparador de error, u</w:t>
            </w:r>
            <w:r>
              <w:rPr>
                <w:sz w:val="20"/>
              </w:rPr>
              <w:t>n nodo Set para normalización y un nodo Postgres para almacenamiento.</w:t>
            </w:r>
          </w:p>
        </w:tc>
      </w:tr>
    </w:tbl>
    <w:p w14:paraId="77EC7C68" w14:textId="77777777" w:rsidR="0072122B" w:rsidRDefault="00E05607">
      <w:pPr>
        <w:pStyle w:val="Ttulo1"/>
        <w:spacing w:before="200" w:after="80"/>
      </w:pPr>
      <w:r>
        <w:t>1. Objetivo y alcance</w:t>
      </w:r>
    </w:p>
    <w:p w14:paraId="466D9086" w14:textId="77777777" w:rsidR="0072122B" w:rsidRDefault="00E05607">
      <w:pPr>
        <w:spacing w:after="80"/>
        <w:rPr>
          <w:rFonts w:hint="eastAsia"/>
        </w:rPr>
      </w:pPr>
      <w:r>
        <w:t>Este documento describe el diseño técnico, el comportamiento operativo y las consideraciones de mantenimiento del workflow “CASO B - Dead Letter Handler”. El análi</w:t>
      </w:r>
      <w:r>
        <w:t>sis cubre su activación, la estructura de datos que captura, la forma en que normaliza el evento de error y la persistencia final en PostgreSQL.</w:t>
      </w:r>
    </w:p>
    <w:p w14:paraId="744E5080" w14:textId="77777777" w:rsidR="0072122B" w:rsidRDefault="00E05607">
      <w:pPr>
        <w:spacing w:after="80"/>
        <w:rPr>
          <w:rFonts w:hint="eastAsia"/>
        </w:rPr>
      </w:pPr>
      <w:r>
        <w:t>El workflow está diseñado para operar como flujo de contingencia o error workflow dentro del ecosistema del Cas</w:t>
      </w:r>
      <w:r>
        <w:t>o B. Su alcance se limita a la captura de metadata de error y no ejecuta recuperación, reintentos, notificación ni remediación automática.</w:t>
      </w:r>
    </w:p>
    <w:p w14:paraId="7B7326F2" w14:textId="77777777" w:rsidR="0072122B" w:rsidRDefault="00E05607">
      <w:pPr>
        <w:pStyle w:val="Ttulo1"/>
        <w:spacing w:before="200" w:after="80"/>
      </w:pPr>
      <w:r>
        <w:t>2. Arquitectura lógica</w:t>
      </w:r>
    </w:p>
    <w:p w14:paraId="0BAA1A36" w14:textId="77777777" w:rsidR="0072122B" w:rsidRDefault="00E05607">
      <w:pPr>
        <w:spacing w:after="80"/>
        <w:rPr>
          <w:rFonts w:hint="eastAsia"/>
        </w:rPr>
      </w:pPr>
      <w:r>
        <w:t>La arquitectura del flujo es lineal y deliberadamente simple para minimizar el riesgo de falla</w:t>
      </w:r>
      <w:r>
        <w:t>r durante el propio proceso de manejo de errores.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312"/>
        <w:gridCol w:w="3024"/>
      </w:tblGrid>
      <w:tr w:rsidR="0072122B" w14:paraId="055E5740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C4CAE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1. Error Trigger</w:t>
            </w:r>
          </w:p>
        </w:tc>
        <w:tc>
          <w:tcPr>
            <w:tcW w:w="33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6787E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2. Set - Normalize Dead Letter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945FA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9"/>
              </w:rPr>
              <w:t>3. Insert Dead Letter</w:t>
            </w:r>
          </w:p>
        </w:tc>
      </w:tr>
      <w:tr w:rsidR="0072122B" w14:paraId="43F81861" w14:textId="77777777">
        <w:trPr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5D40C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Recibe el contexto del fallo desde n8n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480C4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>Extrae campos clave y aplica valores por defecto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C9FB7" w14:textId="77777777" w:rsidR="0072122B" w:rsidRDefault="00E05607">
            <w:pPr>
              <w:rPr>
                <w:rFonts w:hint="eastAsia"/>
              </w:rPr>
            </w:pPr>
            <w:r>
              <w:rPr>
                <w:sz w:val="19"/>
              </w:rPr>
              <w:t xml:space="preserve">Persiste el registro en </w:t>
            </w:r>
            <w:r>
              <w:rPr>
                <w:sz w:val="19"/>
              </w:rPr>
              <w:t>public.case_b_dead_letter</w:t>
            </w:r>
          </w:p>
        </w:tc>
      </w:tr>
    </w:tbl>
    <w:p w14:paraId="1FCC2678" w14:textId="77777777" w:rsidR="0072122B" w:rsidRDefault="00E05607">
      <w:pPr>
        <w:pStyle w:val="Ttulo1"/>
        <w:spacing w:before="200" w:after="80"/>
      </w:pPr>
      <w:r>
        <w:t>3. Inventario detallado de nodos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096"/>
        <w:gridCol w:w="2232"/>
        <w:gridCol w:w="1656"/>
        <w:gridCol w:w="1656"/>
        <w:gridCol w:w="2448"/>
      </w:tblGrid>
      <w:tr w:rsidR="0072122B" w14:paraId="47FBF599" w14:textId="77777777">
        <w:trPr>
          <w:jc w:val="center"/>
        </w:trPr>
        <w:tc>
          <w:tcPr>
            <w:tcW w:w="6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C8C47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30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E72F6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Nodo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D01E3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3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E35FB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5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9DA31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w="24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454F4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Observaciones</w:t>
            </w:r>
          </w:p>
        </w:tc>
      </w:tr>
      <w:tr w:rsidR="0072122B" w14:paraId="4B83DE31" w14:textId="77777777">
        <w:trPr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9CA12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9E61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Error Trigger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BBF45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errorTrigger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56A2C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6E4FD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Disparador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B90ED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Se activa cuando otro workflow configurado como fuente entra en error.</w:t>
            </w:r>
          </w:p>
        </w:tc>
      </w:tr>
      <w:tr w:rsidR="0072122B" w14:paraId="64EE44B9" w14:textId="77777777">
        <w:trPr>
          <w:jc w:val="center"/>
        </w:trPr>
        <w:tc>
          <w:tcPr>
            <w:tcW w:w="1656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FCEA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78FC5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Set - Normalize Dead Letter</w:t>
            </w:r>
          </w:p>
        </w:tc>
        <w:tc>
          <w:tcPr>
            <w:tcW w:w="1656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34DC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set</w:t>
            </w:r>
          </w:p>
        </w:tc>
        <w:tc>
          <w:tcPr>
            <w:tcW w:w="1656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AF979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1634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Normalización</w:t>
            </w:r>
          </w:p>
        </w:tc>
        <w:tc>
          <w:tcPr>
            <w:tcW w:w="1656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BAB1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Consolida nombres de workflow, ejecución y error con fallback seguro a cadena vacía.</w:t>
            </w:r>
          </w:p>
        </w:tc>
      </w:tr>
      <w:tr w:rsidR="0072122B" w14:paraId="3E4A2C9A" w14:textId="77777777">
        <w:trPr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F6B1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C0AD3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Insert Dead Letter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826B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postgres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1B05D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2.6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7CC0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Persistencia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C20FC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Mapea automáticamente hacia public.case_b_dead_letter usando credencial Postgres account.</w:t>
            </w:r>
          </w:p>
        </w:tc>
      </w:tr>
    </w:tbl>
    <w:p w14:paraId="3E9DED9B" w14:textId="77777777" w:rsidR="0072122B" w:rsidRDefault="00E05607">
      <w:pPr>
        <w:pStyle w:val="Ttulo1"/>
        <w:spacing w:before="200" w:after="80"/>
      </w:pPr>
      <w:r>
        <w:t>4. Contrato de dat</w:t>
      </w:r>
      <w:r>
        <w:t>os normalizado</w:t>
      </w:r>
    </w:p>
    <w:p w14:paraId="4BB12F18" w14:textId="77777777" w:rsidR="0072122B" w:rsidRDefault="00E05607">
      <w:pPr>
        <w:spacing w:after="80"/>
        <w:rPr>
          <w:rFonts w:hint="eastAsia"/>
        </w:rPr>
      </w:pPr>
      <w:r>
        <w:t>El nodo “Set - Normalize Dead Letter” deja el payload en un formato controlado. Los siguientes campos se producen explícitamente antes de llegar al nodo Postgres.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4248"/>
        <w:gridCol w:w="2484"/>
        <w:gridCol w:w="2484"/>
      </w:tblGrid>
      <w:tr w:rsidR="0072122B" w14:paraId="3DC174C1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8991D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2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6CEDE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7"/>
              </w:rPr>
              <w:t>Expresión de origen</w:t>
            </w:r>
          </w:p>
        </w:tc>
        <w:tc>
          <w:tcPr>
            <w:tcW w:w="129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AF29E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24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A5451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7"/>
              </w:rPr>
              <w:t>Propósito</w:t>
            </w:r>
          </w:p>
        </w:tc>
      </w:tr>
      <w:tr w:rsidR="0072122B" w14:paraId="09F0EB96" w14:textId="77777777">
        <w:trPr>
          <w:jc w:val="center"/>
        </w:trPr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8D4F9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workflow_name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F2B8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$json.workflow?.name || ''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59011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4B49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Identifica el workflow fuente que falló.</w:t>
            </w:r>
          </w:p>
        </w:tc>
      </w:tr>
      <w:tr w:rsidR="0072122B" w14:paraId="16DC3598" w14:textId="77777777">
        <w:trPr>
          <w:jc w:val="center"/>
        </w:trPr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A8E1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execution_id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9F5D4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$json.execution?.id || ''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8880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74F5A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Permite correlación con la ejecución fallida.</w:t>
            </w:r>
          </w:p>
        </w:tc>
      </w:tr>
      <w:tr w:rsidR="0072122B" w14:paraId="33B1E932" w14:textId="77777777">
        <w:trPr>
          <w:jc w:val="center"/>
        </w:trPr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D27A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execution_url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74605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$json.execution?.url || ''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61464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933B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 xml:space="preserve">Facilita abrir la ejecución desde </w:t>
            </w:r>
            <w:r>
              <w:rPr>
                <w:sz w:val="17"/>
              </w:rPr>
              <w:t>n8n cuando exista URL.</w:t>
            </w:r>
          </w:p>
        </w:tc>
      </w:tr>
      <w:tr w:rsidR="0072122B" w14:paraId="60147B1D" w14:textId="77777777">
        <w:trPr>
          <w:jc w:val="center"/>
        </w:trPr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BE45A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retry_of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42B96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$json.execution?.retryOf || ''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8D9A2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1E1EA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Indica si la ejecución fallida fue reintento de otra.</w:t>
            </w:r>
          </w:p>
        </w:tc>
      </w:tr>
      <w:tr w:rsidR="0072122B" w14:paraId="4846DC01" w14:textId="77777777">
        <w:trPr>
          <w:jc w:val="center"/>
        </w:trPr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3EEB8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last_node_executed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9B18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$json.execution?.lastNodeExecuted || ''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C7A16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46300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Punto técnico donde el flujo quedó detenido.</w:t>
            </w:r>
          </w:p>
        </w:tc>
      </w:tr>
      <w:tr w:rsidR="0072122B" w14:paraId="74F0211B" w14:textId="77777777">
        <w:trPr>
          <w:jc w:val="center"/>
        </w:trPr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2E682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error_message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1E265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$json.execution?.error?.message || $json.trigger?.error?.message || ''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6F603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8A935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Mensaje resumido de error.</w:t>
            </w:r>
          </w:p>
        </w:tc>
      </w:tr>
      <w:tr w:rsidR="0072122B" w14:paraId="420E766A" w14:textId="77777777">
        <w:trPr>
          <w:jc w:val="center"/>
        </w:trPr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F442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error_stack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14DBC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$json.execution?.error?.stack || $json.trigger?.error?.stack || ''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00341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9CC46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Traza ampliada para diagnóstico profundo.</w:t>
            </w:r>
          </w:p>
        </w:tc>
      </w:tr>
      <w:tr w:rsidR="0072122B" w14:paraId="601051F4" w14:textId="77777777">
        <w:trPr>
          <w:jc w:val="center"/>
        </w:trPr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AA4F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executi</w:t>
            </w:r>
            <w:r>
              <w:rPr>
                <w:sz w:val="17"/>
              </w:rPr>
              <w:t>on_mode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F5E75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$json.execution?.mode || $json.trigger?.mode || ''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78C77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48286" w14:textId="77777777" w:rsidR="0072122B" w:rsidRDefault="00E05607">
            <w:pPr>
              <w:rPr>
                <w:rFonts w:hint="eastAsia"/>
              </w:rPr>
            </w:pPr>
            <w:r>
              <w:rPr>
                <w:sz w:val="17"/>
              </w:rPr>
              <w:t>Modo de ejecución del workflow fallido.</w:t>
            </w:r>
          </w:p>
        </w:tc>
      </w:tr>
    </w:tbl>
    <w:p w14:paraId="6D24E078" w14:textId="77777777" w:rsidR="0072122B" w:rsidRDefault="00E05607">
      <w:pPr>
        <w:spacing w:after="80"/>
        <w:rPr>
          <w:rFonts w:hint="eastAsia"/>
        </w:rPr>
      </w:pPr>
      <w:r>
        <w:t xml:space="preserve">Observación importante: la columna received_at está presente en el esquema del nodo Postgres, pero no es calculada explícitamente en el nodo Set. </w:t>
      </w:r>
      <w:r>
        <w:t>Por tanto, el diseño queda correctamente completo solo si la base de datos define un valor por defecto, por ejemplo DEFAULT NOW().</w:t>
      </w:r>
    </w:p>
    <w:p w14:paraId="3AC44BD6" w14:textId="77777777" w:rsidR="0072122B" w:rsidRDefault="00E05607">
      <w:pPr>
        <w:pStyle w:val="Ttulo1"/>
        <w:spacing w:before="200" w:after="80"/>
      </w:pPr>
      <w:r>
        <w:t>5. Persistencia en PostgreSQL</w:t>
      </w:r>
    </w:p>
    <w:p w14:paraId="179E2E7B" w14:textId="77777777" w:rsidR="0072122B" w:rsidRDefault="00E05607">
      <w:pPr>
        <w:spacing w:after="80"/>
        <w:rPr>
          <w:rFonts w:hint="eastAsia"/>
        </w:rPr>
      </w:pPr>
      <w:r>
        <w:t xml:space="preserve">El nodo Postgres apunta al esquema public y a la tabla case_b_dead_letter. La configuración de </w:t>
      </w:r>
      <w:r>
        <w:t>columnas usa autoMapInputData, por lo que los nombres del payload normalizado deben coincidir con los nombres de columnas de la tabla.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192"/>
      </w:tblGrid>
      <w:tr w:rsidR="0072122B" w14:paraId="1DD7C30E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9E114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619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C7F2D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Valor observado</w:t>
            </w:r>
          </w:p>
        </w:tc>
      </w:tr>
      <w:tr w:rsidR="0072122B" w14:paraId="587E48FA" w14:textId="77777777">
        <w:trPr>
          <w:jc w:val="center"/>
        </w:trPr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2C48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Schema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A641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public</w:t>
            </w:r>
          </w:p>
        </w:tc>
      </w:tr>
      <w:tr w:rsidR="0072122B" w14:paraId="6006C0A1" w14:textId="77777777">
        <w:trPr>
          <w:jc w:val="center"/>
        </w:trPr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2865E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Table</w:t>
            </w:r>
          </w:p>
        </w:tc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9C566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case_b_dead_letter</w:t>
            </w:r>
          </w:p>
        </w:tc>
      </w:tr>
      <w:tr w:rsidR="0072122B" w14:paraId="2545E99F" w14:textId="77777777">
        <w:trPr>
          <w:jc w:val="center"/>
        </w:trPr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8D3E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Credencial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52E1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Postgres account</w:t>
            </w:r>
          </w:p>
        </w:tc>
      </w:tr>
      <w:tr w:rsidR="0072122B" w14:paraId="2FB19412" w14:textId="77777777">
        <w:trPr>
          <w:jc w:val="center"/>
        </w:trPr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03442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Batching</w:t>
            </w:r>
          </w:p>
        </w:tc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183F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independently</w:t>
            </w:r>
          </w:p>
        </w:tc>
      </w:tr>
      <w:tr w:rsidR="0072122B" w14:paraId="7AD5AC77" w14:textId="77777777">
        <w:trPr>
          <w:jc w:val="center"/>
        </w:trPr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A467D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matchingColumns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EFBFB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</w:tr>
      <w:tr w:rsidR="0072122B" w14:paraId="60A31B3A" w14:textId="77777777">
        <w:trPr>
          <w:jc w:val="center"/>
        </w:trPr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63ABA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Conversión de tipos</w:t>
            </w:r>
          </w:p>
        </w:tc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7E82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attemptToConvertTypes = false / convertFieldsToString = false</w:t>
            </w:r>
          </w:p>
        </w:tc>
      </w:tr>
    </w:tbl>
    <w:p w14:paraId="6C587D33" w14:textId="77777777" w:rsidR="0072122B" w:rsidRDefault="00E05607">
      <w:pPr>
        <w:spacing w:after="80"/>
        <w:rPr>
          <w:rFonts w:hint="eastAsia"/>
        </w:rPr>
      </w:pPr>
      <w:r>
        <w:t xml:space="preserve">Como el flujo no limpia ni transforma received_at, la mejor práctica es que la definición SQL de la tabla genere </w:t>
      </w:r>
      <w:r>
        <w:t>automáticamente dicho valor. Esto evita errores por campos vacíos durante la inserción y garantiza trazabilidad temporal homogénea.</w:t>
      </w:r>
    </w:p>
    <w:p w14:paraId="19C7F468" w14:textId="77777777" w:rsidR="0072122B" w:rsidRDefault="00E05607">
      <w:pPr>
        <w:pStyle w:val="Ttulo1"/>
        <w:spacing w:before="200" w:after="80"/>
      </w:pPr>
      <w:r>
        <w:lastRenderedPageBreak/>
        <w:t>6. Secuencia operativa</w:t>
      </w:r>
    </w:p>
    <w:p w14:paraId="26F7FC65" w14:textId="77777777" w:rsidR="0072122B" w:rsidRDefault="00E05607">
      <w:pPr>
        <w:pStyle w:val="Listaconvietas"/>
        <w:spacing w:after="40"/>
        <w:rPr>
          <w:rFonts w:hint="eastAsia"/>
        </w:rPr>
      </w:pPr>
      <w:r>
        <w:t>Un workflow principal del Caso B entra en error y n8n invoca este flujo de error.</w:t>
      </w:r>
    </w:p>
    <w:p w14:paraId="129A7487" w14:textId="77777777" w:rsidR="0072122B" w:rsidRDefault="00E05607">
      <w:pPr>
        <w:pStyle w:val="Listaconvietas"/>
        <w:spacing w:after="40"/>
        <w:rPr>
          <w:rFonts w:hint="eastAsia"/>
        </w:rPr>
      </w:pPr>
      <w:r>
        <w:t>El nodo Error Trigg</w:t>
      </w:r>
      <w:r>
        <w:t>er entrega al flujo un objeto con información del workflow, la ejecución y el error técnico.</w:t>
      </w:r>
    </w:p>
    <w:p w14:paraId="4A751D9C" w14:textId="77777777" w:rsidR="0072122B" w:rsidRDefault="00E05607">
      <w:pPr>
        <w:pStyle w:val="Listaconvietas"/>
        <w:spacing w:after="40"/>
        <w:rPr>
          <w:rFonts w:hint="eastAsia"/>
        </w:rPr>
      </w:pPr>
      <w:r>
        <w:t>El nodo Set extrae un subconjunto mínimo y confiable de metadata, usando fallback a cadena vacía cuando un atributo no exista.</w:t>
      </w:r>
    </w:p>
    <w:p w14:paraId="09FDB6DA" w14:textId="77777777" w:rsidR="0072122B" w:rsidRDefault="00E05607">
      <w:pPr>
        <w:pStyle w:val="Listaconvietas"/>
        <w:spacing w:after="40"/>
        <w:rPr>
          <w:rFonts w:hint="eastAsia"/>
        </w:rPr>
      </w:pPr>
      <w:r>
        <w:t>El nodo Postgres inserta el registro</w:t>
      </w:r>
      <w:r>
        <w:t xml:space="preserve"> normalizado en case_b_dead_letter.</w:t>
      </w:r>
    </w:p>
    <w:p w14:paraId="655C801E" w14:textId="77777777" w:rsidR="0072122B" w:rsidRDefault="00E05607">
      <w:pPr>
        <w:pStyle w:val="Listaconvietas"/>
        <w:spacing w:after="40"/>
        <w:rPr>
          <w:rFonts w:hint="eastAsia"/>
        </w:rPr>
      </w:pPr>
      <w:r>
        <w:t>El registro queda disponible para auditoría, dashboards operativos o consulta ad hoc en SQL.</w:t>
      </w:r>
    </w:p>
    <w:p w14:paraId="28ABDE35" w14:textId="77777777" w:rsidR="0072122B" w:rsidRDefault="00E05607">
      <w:pPr>
        <w:pStyle w:val="Ttulo1"/>
        <w:spacing w:before="200" w:after="80"/>
      </w:pPr>
      <w:r>
        <w:t>7. Casos de uso operativos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888"/>
        <w:gridCol w:w="3312"/>
      </w:tblGrid>
      <w:tr w:rsidR="0072122B" w14:paraId="0AD1B604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872E4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388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C7449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Valor operativo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5FE18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Notas</w:t>
            </w:r>
          </w:p>
        </w:tc>
      </w:tr>
      <w:tr w:rsidR="0072122B" w14:paraId="36D0E9E7" w14:textId="77777777">
        <w:trPr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05C05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Auditoría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6F7D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 xml:space="preserve">Conservar evidencia mínima de errores de </w:t>
            </w:r>
            <w:r>
              <w:rPr>
                <w:sz w:val="18"/>
              </w:rPr>
              <w:t>workflows críticos.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FE78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Útil para revisiones posteriores y soporte.</w:t>
            </w:r>
          </w:p>
        </w:tc>
      </w:tr>
      <w:tr w:rsidR="0072122B" w14:paraId="628D277B" w14:textId="77777777">
        <w:trPr>
          <w:jc w:val="center"/>
        </w:trPr>
        <w:tc>
          <w:tcPr>
            <w:tcW w:w="3312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A099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Diagnóstico</w:t>
            </w:r>
          </w:p>
        </w:tc>
        <w:tc>
          <w:tcPr>
            <w:tcW w:w="3312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E3142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Detectar nodo de fallo, mensaje y stack asociado.</w:t>
            </w:r>
          </w:p>
        </w:tc>
        <w:tc>
          <w:tcPr>
            <w:tcW w:w="3312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4772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Permite triage más rápido.</w:t>
            </w:r>
          </w:p>
        </w:tc>
      </w:tr>
      <w:tr w:rsidR="0072122B" w14:paraId="5D177B01" w14:textId="77777777">
        <w:trPr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0789E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Métricas de resiliencia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248F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Contabilizar dead letters por período o por workflow.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FA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 xml:space="preserve">Apoya la </w:t>
            </w:r>
            <w:r>
              <w:rPr>
                <w:sz w:val="18"/>
              </w:rPr>
              <w:t>evaluación de tolerancia a fallos.</w:t>
            </w:r>
          </w:p>
        </w:tc>
      </w:tr>
      <w:tr w:rsidR="0072122B" w14:paraId="06B9F02C" w14:textId="77777777">
        <w:trPr>
          <w:jc w:val="center"/>
        </w:trPr>
        <w:tc>
          <w:tcPr>
            <w:tcW w:w="3312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6BE3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Correlación de incidentes</w:t>
            </w:r>
          </w:p>
        </w:tc>
        <w:tc>
          <w:tcPr>
            <w:tcW w:w="3312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B15B3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Cruzar execution_id y execution_url con la instancia fallida.</w:t>
            </w:r>
          </w:p>
        </w:tc>
        <w:tc>
          <w:tcPr>
            <w:tcW w:w="3312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C3AD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Facilita seguimiento puntual.</w:t>
            </w:r>
          </w:p>
        </w:tc>
      </w:tr>
    </w:tbl>
    <w:p w14:paraId="263F85F4" w14:textId="77777777" w:rsidR="0072122B" w:rsidRDefault="00E05607">
      <w:pPr>
        <w:pStyle w:val="Ttulo1"/>
        <w:spacing w:before="200" w:after="80"/>
      </w:pPr>
      <w:r>
        <w:t>8. Pruebas recomendadas</w:t>
      </w:r>
    </w:p>
    <w:p w14:paraId="6E029D6E" w14:textId="77777777" w:rsidR="0072122B" w:rsidRDefault="00E05607">
      <w:pPr>
        <w:spacing w:after="80"/>
        <w:rPr>
          <w:rFonts w:hint="eastAsia"/>
        </w:rPr>
      </w:pPr>
      <w:r>
        <w:t>Para validar el funcionamiento del Error Trigger se recomienda provocar un fa</w:t>
      </w:r>
      <w:r>
        <w:t>llo técnico real en el workflow principal del Caso B, por ejemplo enviando force_error=true o apuntando mock_base_url a un puerto inexistente. Luego debe verificarse la aparición del registro en case_b_dead_letter.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3744"/>
        <w:gridCol w:w="2484"/>
        <w:gridCol w:w="2484"/>
      </w:tblGrid>
      <w:tr w:rsidR="0072122B" w14:paraId="698FC67C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E8336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w="374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CB15E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Acción</w:t>
            </w:r>
          </w:p>
        </w:tc>
        <w:tc>
          <w:tcPr>
            <w:tcW w:w="17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D3BA4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Resultado esperado</w:t>
            </w:r>
          </w:p>
        </w:tc>
        <w:tc>
          <w:tcPr>
            <w:tcW w:w="24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5C9E9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Validación</w:t>
            </w:r>
          </w:p>
        </w:tc>
      </w:tr>
      <w:tr w:rsidR="0072122B" w14:paraId="4DBE188B" w14:textId="77777777">
        <w:trPr>
          <w:jc w:val="center"/>
        </w:trPr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E70E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Fallo técnico general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DBF9B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Forzar error en workflow principal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C82EA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Se ejecuta el Error Trigger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70A2D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Nueva fila en case_b_dead_letter</w:t>
            </w:r>
          </w:p>
        </w:tc>
      </w:tr>
      <w:tr w:rsidR="0072122B" w14:paraId="4A77BA73" w14:textId="77777777">
        <w:trPr>
          <w:jc w:val="center"/>
        </w:trPr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06F2E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Puerto inválido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5F3A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Usar mock_base_url inaccesible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1337E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Error de conexión capturado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1633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error_message describe rechazo o timeout</w:t>
            </w:r>
          </w:p>
        </w:tc>
      </w:tr>
      <w:tr w:rsidR="0072122B" w14:paraId="5A9C06A8" w14:textId="77777777">
        <w:trPr>
          <w:jc w:val="center"/>
        </w:trPr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8B194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Reintento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178E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Provocar fallo tras retry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6D17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retry_of poblado cuando aplique</w:t>
            </w:r>
          </w:p>
        </w:tc>
        <w:tc>
          <w:tcPr>
            <w:tcW w:w="24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7C87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Registro correlacionable</w:t>
            </w:r>
          </w:p>
        </w:tc>
      </w:tr>
      <w:tr w:rsidR="0072122B" w14:paraId="27DEA4B8" w14:textId="77777777">
        <w:trPr>
          <w:jc w:val="center"/>
        </w:trPr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83D0A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Campos ausentes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A7296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Simular payload incompleto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AC90C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No rompe normalización</w:t>
            </w:r>
          </w:p>
        </w:tc>
        <w:tc>
          <w:tcPr>
            <w:tcW w:w="2484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FA236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Se guardan cadenas vacías donde falte dato</w:t>
            </w:r>
          </w:p>
        </w:tc>
      </w:tr>
    </w:tbl>
    <w:p w14:paraId="2361FC0A" w14:textId="77777777" w:rsidR="0072122B" w:rsidRDefault="00E05607">
      <w:pPr>
        <w:pStyle w:val="Ttulo1"/>
        <w:spacing w:before="200" w:after="80"/>
      </w:pPr>
      <w:r>
        <w:t>9. Riesgos y limitaciones</w:t>
      </w:r>
    </w:p>
    <w:p w14:paraId="010ED345" w14:textId="77777777" w:rsidR="0072122B" w:rsidRDefault="00E05607">
      <w:pPr>
        <w:pStyle w:val="Listaconvietas"/>
        <w:rPr>
          <w:rFonts w:hint="eastAsia"/>
        </w:rPr>
      </w:pPr>
      <w:r>
        <w:t>Si el nodo Postgres falla,</w:t>
      </w:r>
      <w:r>
        <w:t xml:space="preserve"> el evento de error puede perderse porque el flujo no contempla un segundo canal de respaldo.</w:t>
      </w:r>
    </w:p>
    <w:p w14:paraId="0F618A73" w14:textId="77777777" w:rsidR="0072122B" w:rsidRDefault="00E05607">
      <w:pPr>
        <w:pStyle w:val="Listaconvietas"/>
        <w:rPr>
          <w:rFonts w:hint="eastAsia"/>
        </w:rPr>
      </w:pPr>
      <w:r>
        <w:t xml:space="preserve">No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payload de entrada del workflow fallido ni su contexto de </w:t>
      </w:r>
      <w:r>
        <w:t>negocio, solo metadata técnica.</w:t>
      </w:r>
    </w:p>
    <w:p w14:paraId="2C092932" w14:textId="77777777" w:rsidR="0072122B" w:rsidRDefault="00E05607">
      <w:pPr>
        <w:pStyle w:val="Listaconvietas"/>
        <w:rPr>
          <w:rFonts w:hint="eastAsia"/>
        </w:rPr>
      </w:pPr>
      <w:r>
        <w:t>No se calcula received_at dentro del flujo; la solución depende de la definición de la tabla.</w:t>
      </w:r>
    </w:p>
    <w:p w14:paraId="60103DF9" w14:textId="77777777" w:rsidR="0072122B" w:rsidRDefault="00E05607">
      <w:pPr>
        <w:pStyle w:val="Ttulo1"/>
        <w:spacing w:before="200" w:after="80"/>
      </w:pPr>
      <w:r>
        <w:t>10. Mejoras recomendadas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6048"/>
      </w:tblGrid>
      <w:tr w:rsidR="0072122B" w14:paraId="06A4C9A1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672C4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Mejora</w:t>
            </w:r>
          </w:p>
        </w:tc>
        <w:tc>
          <w:tcPr>
            <w:tcW w:w="60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DA5F6" w14:textId="77777777" w:rsidR="0072122B" w:rsidRDefault="00E05607">
            <w:pPr>
              <w:rPr>
                <w:rFonts w:hint="eastAsia"/>
              </w:rPr>
            </w:pPr>
            <w:r>
              <w:rPr>
                <w:b/>
                <w:sz w:val="18"/>
              </w:rPr>
              <w:t>Beneficio espera</w:t>
            </w:r>
            <w:r>
              <w:rPr>
                <w:b/>
                <w:sz w:val="18"/>
              </w:rPr>
              <w:t>do</w:t>
            </w:r>
          </w:p>
        </w:tc>
      </w:tr>
      <w:tr w:rsidR="0072122B" w14:paraId="7970A724" w14:textId="77777777">
        <w:trPr>
          <w:jc w:val="center"/>
        </w:trPr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7D13E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Agregar received_at en Set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3AB9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Reduce dependencia de defaults externos y mejora consistencia del registro.</w:t>
            </w:r>
          </w:p>
        </w:tc>
      </w:tr>
      <w:tr w:rsidR="0072122B" w14:paraId="2B945A54" w14:textId="77777777">
        <w:trPr>
          <w:jc w:val="center"/>
        </w:trPr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90B68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Canal secundario de alerta</w:t>
            </w:r>
          </w:p>
        </w:tc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79462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Permite respuesta operativa más rápida ante fallos críticos.</w:t>
            </w:r>
          </w:p>
        </w:tc>
      </w:tr>
      <w:tr w:rsidR="0072122B" w14:paraId="63FBE9C2" w14:textId="77777777">
        <w:trPr>
          <w:jc w:val="center"/>
        </w:trPr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237A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Clasificación de severidad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FECCB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 xml:space="preserve">Distingue entre errores </w:t>
            </w:r>
            <w:r>
              <w:rPr>
                <w:sz w:val="18"/>
              </w:rPr>
              <w:t>transitorios, funcionales y críticos.</w:t>
            </w:r>
          </w:p>
        </w:tc>
      </w:tr>
      <w:tr w:rsidR="0072122B" w14:paraId="692CD30C" w14:textId="77777777">
        <w:trPr>
          <w:jc w:val="center"/>
        </w:trPr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924A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Guardar workflow_id o case_name</w:t>
            </w:r>
          </w:p>
        </w:tc>
        <w:tc>
          <w:tcPr>
            <w:tcW w:w="4968" w:type="dxa"/>
            <w:shd w:val="clear" w:color="auto" w:fill="F8FB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0006C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Mejora la segmentación analítica cuando existan varios flujos de error.</w:t>
            </w:r>
          </w:p>
        </w:tc>
      </w:tr>
      <w:tr w:rsidR="0072122B" w14:paraId="27E05EC7" w14:textId="77777777">
        <w:trPr>
          <w:jc w:val="center"/>
        </w:trPr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6CD1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Redacción controlada de stack traces</w:t>
            </w:r>
          </w:p>
        </w:tc>
        <w:tc>
          <w:tcPr>
            <w:tcW w:w="49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078A0" w14:textId="77777777" w:rsidR="0072122B" w:rsidRDefault="00E05607">
            <w:pPr>
              <w:rPr>
                <w:rFonts w:hint="eastAsia"/>
              </w:rPr>
            </w:pPr>
            <w:r>
              <w:rPr>
                <w:sz w:val="18"/>
              </w:rPr>
              <w:t>Evita exponer datos sensibles si el error contiene secretos o endpoints int</w:t>
            </w:r>
            <w:r>
              <w:rPr>
                <w:sz w:val="18"/>
              </w:rPr>
              <w:t>ernos.</w:t>
            </w:r>
          </w:p>
        </w:tc>
      </w:tr>
    </w:tbl>
    <w:p w14:paraId="65A0CB29" w14:textId="77777777" w:rsidR="0072122B" w:rsidRDefault="00E05607">
      <w:pPr>
        <w:pStyle w:val="Ttulo1"/>
        <w:spacing w:before="200" w:after="80"/>
      </w:pPr>
      <w:r>
        <w:t>11. SQL de referencia</w:t>
      </w:r>
    </w:p>
    <w:p w14:paraId="649EE00C" w14:textId="77777777" w:rsidR="0072122B" w:rsidRDefault="00E05607">
      <w:pPr>
        <w:ind w:left="216"/>
        <w:rPr>
          <w:rFonts w:hint="eastAsia"/>
        </w:rPr>
      </w:pPr>
      <w:r>
        <w:rPr>
          <w:rFonts w:ascii="Courier New" w:hAnsi="Courier New"/>
          <w:sz w:val="17"/>
        </w:rPr>
        <w:t>CREATE TABLE IF NOT EXISTS public.case_b_dead_letter (</w:t>
      </w:r>
      <w:r>
        <w:rPr>
          <w:rFonts w:ascii="Courier New" w:hAnsi="Courier New"/>
          <w:sz w:val="17"/>
        </w:rPr>
        <w:br/>
        <w:t xml:space="preserve">    id BIGSERIAL PRIMARY KEY,</w:t>
      </w:r>
      <w:r>
        <w:rPr>
          <w:rFonts w:ascii="Courier New" w:hAnsi="Courier New"/>
          <w:sz w:val="17"/>
        </w:rPr>
        <w:br/>
        <w:t xml:space="preserve">    workflow_name TEXT,</w:t>
      </w:r>
      <w:r>
        <w:rPr>
          <w:rFonts w:ascii="Courier New" w:hAnsi="Courier New"/>
          <w:sz w:val="17"/>
        </w:rPr>
        <w:br/>
        <w:t xml:space="preserve">    execution_id TEXT,</w:t>
      </w:r>
      <w:r>
        <w:rPr>
          <w:rFonts w:ascii="Courier New" w:hAnsi="Courier New"/>
          <w:sz w:val="17"/>
        </w:rPr>
        <w:br/>
        <w:t xml:space="preserve">    execution_url TEXT,</w:t>
      </w:r>
      <w:r>
        <w:rPr>
          <w:rFonts w:ascii="Courier New" w:hAnsi="Courier New"/>
          <w:sz w:val="17"/>
        </w:rPr>
        <w:br/>
        <w:t xml:space="preserve">    retry_of TEXT,</w:t>
      </w:r>
      <w:r>
        <w:rPr>
          <w:rFonts w:ascii="Courier New" w:hAnsi="Courier New"/>
          <w:sz w:val="17"/>
        </w:rPr>
        <w:br/>
        <w:t xml:space="preserve">    last_node_executed TEXT,</w:t>
      </w:r>
      <w:r>
        <w:rPr>
          <w:rFonts w:ascii="Courier New" w:hAnsi="Courier New"/>
          <w:sz w:val="17"/>
        </w:rPr>
        <w:br/>
        <w:t xml:space="preserve">    error_message TEXT</w:t>
      </w:r>
      <w:r>
        <w:rPr>
          <w:rFonts w:ascii="Courier New" w:hAnsi="Courier New"/>
          <w:sz w:val="17"/>
        </w:rPr>
        <w:t>,</w:t>
      </w:r>
      <w:r>
        <w:rPr>
          <w:rFonts w:ascii="Courier New" w:hAnsi="Courier New"/>
          <w:sz w:val="17"/>
        </w:rPr>
        <w:br/>
        <w:t xml:space="preserve">    error_stack TEXT,</w:t>
      </w:r>
      <w:r>
        <w:rPr>
          <w:rFonts w:ascii="Courier New" w:hAnsi="Courier New"/>
          <w:sz w:val="17"/>
        </w:rPr>
        <w:br/>
        <w:t xml:space="preserve">    execution_mode TEXT,</w:t>
      </w:r>
      <w:r>
        <w:rPr>
          <w:rFonts w:ascii="Courier New" w:hAnsi="Courier New"/>
          <w:sz w:val="17"/>
        </w:rPr>
        <w:br/>
        <w:t xml:space="preserve">    received_at TIMESTAMPTZ DEFAULT NOW()</w:t>
      </w:r>
      <w:r>
        <w:rPr>
          <w:rFonts w:ascii="Courier New" w:hAnsi="Courier New"/>
          <w:sz w:val="17"/>
        </w:rPr>
        <w:br/>
        <w:t>);</w:t>
      </w:r>
    </w:p>
    <w:p w14:paraId="0DC8C369" w14:textId="39C82E89" w:rsidR="0072122B" w:rsidRDefault="0072122B">
      <w:pPr>
        <w:spacing w:after="80"/>
        <w:rPr>
          <w:rFonts w:hint="eastAsia"/>
        </w:rPr>
      </w:pPr>
    </w:p>
    <w:sectPr w:rsidR="0072122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51D36" w14:textId="77777777" w:rsidR="00E05607" w:rsidRDefault="00E056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EE5B8E" w14:textId="77777777" w:rsidR="00E05607" w:rsidRDefault="00E056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36ED4" w14:textId="77777777" w:rsidR="0072122B" w:rsidRDefault="00E05607">
    <w:pPr>
      <w:pStyle w:val="Piedepgina"/>
      <w:jc w:val="center"/>
      <w:rPr>
        <w:rFonts w:hint="eastAsia"/>
      </w:rPr>
    </w:pPr>
    <w:r>
      <w:rPr>
        <w:color w:val="787878"/>
        <w:sz w:val="16"/>
      </w:rPr>
      <w:t>Caso B - Documento técnico del Error Trigger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2A67" w14:textId="77777777" w:rsidR="00E05607" w:rsidRDefault="00E056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AEF771" w14:textId="77777777" w:rsidR="00E05607" w:rsidRDefault="00E056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C7D"/>
    <w:rsid w:val="0072122B"/>
    <w:rsid w:val="00AA1D8D"/>
    <w:rsid w:val="00B47730"/>
    <w:rsid w:val="00CB0664"/>
    <w:rsid w:val="00E056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11519"/>
  <w14:defaultImageDpi w14:val="300"/>
  <w15:docId w15:val="{56F2D743-B600-4033-A42A-CF72FB1E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LANCHEROS SANCHEZ CHRISTIAN CAMILO</cp:lastModifiedBy>
  <cp:revision>3</cp:revision>
  <dcterms:created xsi:type="dcterms:W3CDTF">2013-12-23T23:15:00Z</dcterms:created>
  <dcterms:modified xsi:type="dcterms:W3CDTF">2026-04-12T22:26:00Z</dcterms:modified>
  <cp:category/>
</cp:coreProperties>
</file>